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color w:val="auto"/>
          <w:kern w:val="0"/>
          <w:sz w:val="44"/>
          <w:szCs w:val="44"/>
          <w:lang w:val="en-US" w:eastAsia="zh-CN" w:bidi="ar-SA"/>
        </w:rPr>
      </w:pPr>
      <w:r>
        <w:rPr>
          <w:rFonts w:hint="eastAsia" w:ascii="方正小标宋简体" w:hAnsi="方正小标宋简体" w:eastAsia="方正小标宋简体" w:cs="方正小标宋简体"/>
          <w:b w:val="0"/>
          <w:color w:val="auto"/>
          <w:kern w:val="0"/>
          <w:sz w:val="44"/>
          <w:szCs w:val="44"/>
          <w:lang w:val="en-US" w:eastAsia="zh-CN" w:bidi="ar-SA"/>
        </w:rPr>
        <w:t>北海市第二人民医院监控门禁道闸等设备（含一键报警器、出入口安检设备）维保服务采购需求</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为进一步规范医院监控门禁道闸等设备运维管理，保障全院安防设施设备稳定可靠运行，结合医院安防管理实际需求，我院2025年10月1日起已委托第三方公司开展全院监控门禁道闸等设备维保服务，现合同即将到期，拟采购新一周期监控门禁道闸等设备维保服务。本次维保在原有服务基础上，新增一键报警器、出入口安检设备等设施设备，特制定本采购需求，本需求作为维保服务合同的重要组成部分，维保商应严格遵照执行。</w:t>
      </w:r>
    </w:p>
    <w:p>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hint="eastAsia" w:asciiTheme="majorEastAsia" w:hAnsiTheme="majorEastAsia" w:eastAsiaTheme="majorEastAsia" w:cstheme="majorEastAsia"/>
          <w:b/>
          <w:bCs/>
          <w:color w:val="auto"/>
          <w:kern w:val="0"/>
          <w:sz w:val="32"/>
          <w:szCs w:val="32"/>
          <w:lang w:val="en-US" w:eastAsia="zh-CN" w:bidi="ar-SA"/>
        </w:rPr>
      </w:pPr>
      <w:r>
        <w:rPr>
          <w:rFonts w:hint="eastAsia" w:asciiTheme="majorEastAsia" w:hAnsiTheme="majorEastAsia" w:eastAsiaTheme="majorEastAsia" w:cstheme="majorEastAsia"/>
          <w:b/>
          <w:bCs/>
          <w:color w:val="auto"/>
          <w:kern w:val="0"/>
          <w:sz w:val="32"/>
          <w:szCs w:val="32"/>
          <w:lang w:val="en-US" w:eastAsia="zh-CN" w:bidi="ar-SA"/>
        </w:rPr>
        <w:t>一、维保背景及人员配置要求</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我院新院区监控门禁道闸等设备设施于2025年10月1日起委托第三方开展维保后，监控门禁道闸等设备运行稳定性显著提升，为持续保障系统运行质量，延长设备使用寿命，有效应对各类突发故障，拟继续聘请专业维保团队开展新一周期一年半（18个月）的安防维保服务工作。</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本次维保服务需维保商配备多名专职维保服务人员，保障维保响应效率，维保商需在服务启动前向我院提交所有维保人员详细名单及资质证明文件。</w:t>
      </w:r>
    </w:p>
    <w:p>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hint="eastAsia" w:asciiTheme="majorEastAsia" w:hAnsiTheme="majorEastAsia" w:eastAsiaTheme="majorEastAsia" w:cstheme="majorEastAsia"/>
          <w:b/>
          <w:bCs/>
          <w:color w:val="auto"/>
          <w:kern w:val="0"/>
          <w:sz w:val="32"/>
          <w:szCs w:val="32"/>
          <w:lang w:val="en-US" w:eastAsia="zh-CN" w:bidi="ar-SA"/>
        </w:rPr>
      </w:pPr>
      <w:r>
        <w:rPr>
          <w:rFonts w:hint="eastAsia" w:asciiTheme="majorEastAsia" w:hAnsiTheme="majorEastAsia" w:eastAsiaTheme="majorEastAsia" w:cstheme="majorEastAsia"/>
          <w:b/>
          <w:bCs/>
          <w:color w:val="auto"/>
          <w:kern w:val="0"/>
          <w:sz w:val="32"/>
          <w:szCs w:val="32"/>
          <w:lang w:val="en-US" w:eastAsia="zh-CN" w:bidi="ar-SA"/>
        </w:rPr>
        <w:t>二、安防维保系统及设备概况</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本次维保服务涵盖医院全院维保设备，目前包含监控设备1140个、门禁设备200个、道闸设备（车辆识别、人行摆闸）17个，安检机安检门9个，一键报警器89个。（</w:t>
      </w:r>
      <w:r>
        <w:rPr>
          <w:rFonts w:hint="eastAsia" w:ascii="仿宋_GB2312" w:hAnsi="宋体" w:eastAsia="仿宋_GB2312" w:cs="宋体"/>
          <w:b/>
          <w:bCs/>
          <w:color w:val="auto"/>
          <w:kern w:val="0"/>
          <w:sz w:val="32"/>
          <w:szCs w:val="32"/>
          <w:u w:val="single"/>
          <w:lang w:val="en-US" w:eastAsia="zh-CN" w:bidi="ar-SA"/>
        </w:rPr>
        <w:t>具体设备数量由维保服务方清点后提供详细设备清单。</w:t>
      </w:r>
      <w:r>
        <w:rPr>
          <w:rFonts w:hint="eastAsia" w:ascii="仿宋_GB2312" w:hAnsi="宋体" w:eastAsia="仿宋_GB2312" w:cs="宋体"/>
          <w:b w:val="0"/>
          <w:color w:val="auto"/>
          <w:kern w:val="0"/>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hint="eastAsia" w:asciiTheme="majorEastAsia" w:hAnsiTheme="majorEastAsia" w:eastAsiaTheme="majorEastAsia" w:cstheme="majorEastAsia"/>
          <w:b/>
          <w:bCs/>
          <w:color w:val="auto"/>
          <w:kern w:val="0"/>
          <w:sz w:val="32"/>
          <w:szCs w:val="32"/>
          <w:lang w:val="en-US" w:eastAsia="zh-CN" w:bidi="ar-SA"/>
        </w:rPr>
      </w:pPr>
      <w:r>
        <w:rPr>
          <w:rFonts w:hint="eastAsia" w:asciiTheme="majorEastAsia" w:hAnsiTheme="majorEastAsia" w:eastAsiaTheme="majorEastAsia" w:cstheme="majorEastAsia"/>
          <w:b/>
          <w:bCs/>
          <w:color w:val="auto"/>
          <w:kern w:val="0"/>
          <w:sz w:val="32"/>
          <w:szCs w:val="32"/>
          <w:lang w:val="en-US" w:eastAsia="zh-CN" w:bidi="ar-SA"/>
        </w:rPr>
        <w:t>三、维护保养范围及目标</w:t>
      </w:r>
    </w:p>
    <w:p>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hint="eastAsia" w:asciiTheme="majorEastAsia" w:hAnsiTheme="majorEastAsia" w:eastAsiaTheme="majorEastAsia" w:cstheme="majorEastAsia"/>
          <w:b/>
          <w:bCs/>
          <w:color w:val="auto"/>
          <w:kern w:val="0"/>
          <w:sz w:val="32"/>
          <w:szCs w:val="32"/>
          <w:lang w:val="en-US" w:eastAsia="zh-CN" w:bidi="ar-SA"/>
        </w:rPr>
      </w:pPr>
      <w:r>
        <w:rPr>
          <w:rFonts w:hint="eastAsia" w:asciiTheme="majorEastAsia" w:hAnsiTheme="majorEastAsia" w:eastAsiaTheme="majorEastAsia" w:cstheme="majorEastAsia"/>
          <w:b/>
          <w:bCs/>
          <w:color w:val="auto"/>
          <w:kern w:val="0"/>
          <w:sz w:val="32"/>
          <w:szCs w:val="32"/>
          <w:lang w:val="en-US" w:eastAsia="zh-CN" w:bidi="ar-SA"/>
        </w:rPr>
        <w:t>（一）维保范围</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本次维保范围为上述所有设施设备，配套硬件、软件系统及相关线路，具体细分暂时如下：</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1.监控系统：交换机、半球摄像头、带有录音功能摄像头、室外枪式摄像头、人脸识别摄像头、球机摄像头、监控显示屏、监控平台软件、硬盘录像机、监控用存储硬盘</w:t>
      </w:r>
      <w:r>
        <w:rPr>
          <w:rFonts w:hint="eastAsia" w:ascii="仿宋_GB2312" w:hAnsi="宋体" w:eastAsia="仿宋_GB2312" w:cs="宋体"/>
          <w:b/>
          <w:bCs/>
          <w:color w:val="auto"/>
          <w:kern w:val="0"/>
          <w:sz w:val="32"/>
          <w:szCs w:val="32"/>
          <w:lang w:val="en-US" w:eastAsia="zh-CN" w:bidi="ar-SA"/>
        </w:rPr>
        <w:t>等设备配件</w:t>
      </w:r>
      <w:r>
        <w:rPr>
          <w:rFonts w:hint="eastAsia" w:ascii="仿宋_GB2312" w:hAnsi="宋体" w:eastAsia="仿宋_GB2312" w:cs="宋体"/>
          <w:b w:val="0"/>
          <w:color w:val="auto"/>
          <w:kern w:val="0"/>
          <w:sz w:val="32"/>
          <w:szCs w:val="32"/>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2.门禁系统：门禁电源、电磁锁、门禁密码按键、门禁人脸识别、门禁人脸识别主板</w:t>
      </w:r>
      <w:r>
        <w:rPr>
          <w:rFonts w:hint="eastAsia" w:ascii="仿宋_GB2312" w:hAnsi="宋体" w:eastAsia="仿宋_GB2312" w:cs="宋体"/>
          <w:b/>
          <w:bCs/>
          <w:color w:val="auto"/>
          <w:kern w:val="0"/>
          <w:sz w:val="32"/>
          <w:szCs w:val="32"/>
          <w:lang w:val="en-US" w:eastAsia="zh-CN" w:bidi="ar-SA"/>
        </w:rPr>
        <w:t>等设备配件</w:t>
      </w:r>
      <w:r>
        <w:rPr>
          <w:rFonts w:hint="eastAsia" w:ascii="仿宋_GB2312" w:hAnsi="宋体" w:eastAsia="仿宋_GB2312" w:cs="宋体"/>
          <w:b w:val="0"/>
          <w:color w:val="auto"/>
          <w:kern w:val="0"/>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3.一键报警系统：一键报警器</w:t>
      </w:r>
      <w:r>
        <w:rPr>
          <w:rFonts w:hint="eastAsia" w:ascii="仿宋_GB2312" w:hAnsi="宋体" w:eastAsia="仿宋_GB2312" w:cs="宋体"/>
          <w:b/>
          <w:bCs/>
          <w:color w:val="auto"/>
          <w:kern w:val="0"/>
          <w:sz w:val="32"/>
          <w:szCs w:val="32"/>
          <w:lang w:val="en-US" w:eastAsia="zh-CN" w:bidi="ar-SA"/>
        </w:rPr>
        <w:t>等设备配件</w:t>
      </w:r>
      <w:r>
        <w:rPr>
          <w:rFonts w:hint="eastAsia" w:ascii="仿宋_GB2312" w:hAnsi="宋体" w:eastAsia="仿宋_GB2312" w:cs="宋体"/>
          <w:b w:val="0"/>
          <w:color w:val="auto"/>
          <w:kern w:val="0"/>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4.道闸系统：车辆识别摄像头、交换机、触发雷达、道闸弹簧、道闸主板、编码器、摆闸控制主板</w:t>
      </w:r>
      <w:r>
        <w:rPr>
          <w:rFonts w:hint="eastAsia" w:ascii="仿宋_GB2312" w:hAnsi="宋体" w:eastAsia="仿宋_GB2312" w:cs="宋体"/>
          <w:b/>
          <w:bCs/>
          <w:color w:val="auto"/>
          <w:kern w:val="0"/>
          <w:sz w:val="32"/>
          <w:szCs w:val="32"/>
          <w:lang w:val="en-US" w:eastAsia="zh-CN" w:bidi="ar-SA"/>
        </w:rPr>
        <w:t>等设备配件</w:t>
      </w:r>
      <w:r>
        <w:rPr>
          <w:rFonts w:hint="eastAsia" w:ascii="仿宋_GB2312" w:hAnsi="宋体" w:eastAsia="仿宋_GB2312" w:cs="宋体"/>
          <w:b w:val="0"/>
          <w:color w:val="auto"/>
          <w:kern w:val="0"/>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5.出入口安检设备：传送带、轴承、安检软件、安检设备电源</w:t>
      </w:r>
      <w:r>
        <w:rPr>
          <w:rFonts w:hint="eastAsia" w:ascii="仿宋_GB2312" w:hAnsi="宋体" w:eastAsia="仿宋_GB2312" w:cs="宋体"/>
          <w:b/>
          <w:bCs/>
          <w:color w:val="auto"/>
          <w:kern w:val="0"/>
          <w:sz w:val="32"/>
          <w:szCs w:val="32"/>
          <w:lang w:val="en-US" w:eastAsia="zh-CN" w:bidi="ar-SA"/>
        </w:rPr>
        <w:t>等设备配件</w:t>
      </w:r>
      <w:r>
        <w:rPr>
          <w:rFonts w:hint="eastAsia" w:ascii="仿宋_GB2312" w:hAnsi="宋体" w:eastAsia="仿宋_GB2312" w:cs="宋体"/>
          <w:b w:val="0"/>
          <w:color w:val="auto"/>
          <w:kern w:val="0"/>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6.通用材料：网线、交换机、电源、机柜、光纤收发器、光纤集线盒、光纤</w:t>
      </w:r>
      <w:r>
        <w:rPr>
          <w:rFonts w:hint="eastAsia" w:ascii="仿宋_GB2312" w:hAnsi="宋体" w:eastAsia="仿宋_GB2312" w:cs="宋体"/>
          <w:b/>
          <w:bCs/>
          <w:color w:val="auto"/>
          <w:kern w:val="0"/>
          <w:sz w:val="32"/>
          <w:szCs w:val="32"/>
          <w:lang w:val="en-US" w:eastAsia="zh-CN" w:bidi="ar-SA"/>
        </w:rPr>
        <w:t>等设备配件</w:t>
      </w:r>
      <w:r>
        <w:rPr>
          <w:rFonts w:hint="eastAsia" w:ascii="仿宋_GB2312" w:hAnsi="宋体" w:eastAsia="仿宋_GB2312" w:cs="宋体"/>
          <w:b w:val="0"/>
          <w:color w:val="auto"/>
          <w:kern w:val="0"/>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hint="eastAsia" w:asciiTheme="majorEastAsia" w:hAnsiTheme="majorEastAsia" w:eastAsiaTheme="majorEastAsia" w:cstheme="majorEastAsia"/>
          <w:b/>
          <w:bCs/>
          <w:color w:val="auto"/>
          <w:kern w:val="0"/>
          <w:sz w:val="32"/>
          <w:szCs w:val="32"/>
          <w:lang w:val="en-US" w:eastAsia="zh-CN" w:bidi="ar-SA"/>
        </w:rPr>
      </w:pPr>
      <w:r>
        <w:rPr>
          <w:rFonts w:hint="eastAsia" w:asciiTheme="majorEastAsia" w:hAnsiTheme="majorEastAsia" w:eastAsiaTheme="majorEastAsia" w:cstheme="majorEastAsia"/>
          <w:b/>
          <w:bCs/>
          <w:color w:val="auto"/>
          <w:kern w:val="0"/>
          <w:sz w:val="32"/>
          <w:szCs w:val="32"/>
          <w:lang w:val="en-US" w:eastAsia="zh-CN" w:bidi="ar-SA"/>
        </w:rPr>
        <w:t>（二）维保目标</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1.建立标准化、常态化维保机制，通过定期检查、及时故障处理，精准发现并排除系统各类故障和安全隐患，杜绝设备功能失灵、系统瘫痪等问题。</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2.通过专业的维护、保养和检修，确保所有安防设施设备技术性能达标、运行状态完好，最大限度延长设备使用寿命。</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3.保障监控门禁道闸等设备整体联动性、可靠性，满足医院人员、财产安全防护及上级安全检查相关要求，为医院运营提供稳定的安防保障。</w:t>
      </w:r>
    </w:p>
    <w:p>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hint="eastAsia" w:asciiTheme="majorEastAsia" w:hAnsiTheme="majorEastAsia" w:eastAsiaTheme="majorEastAsia" w:cstheme="majorEastAsia"/>
          <w:b/>
          <w:bCs/>
          <w:color w:val="auto"/>
          <w:kern w:val="0"/>
          <w:sz w:val="32"/>
          <w:szCs w:val="32"/>
          <w:lang w:val="en-US" w:eastAsia="zh-CN" w:bidi="ar-SA"/>
        </w:rPr>
      </w:pPr>
      <w:bookmarkStart w:id="0" w:name="OLE_LINK2"/>
      <w:r>
        <w:rPr>
          <w:rFonts w:hint="eastAsia" w:asciiTheme="majorEastAsia" w:hAnsiTheme="majorEastAsia" w:eastAsiaTheme="majorEastAsia" w:cstheme="majorEastAsia"/>
          <w:b/>
          <w:bCs/>
          <w:color w:val="auto"/>
          <w:kern w:val="0"/>
          <w:sz w:val="32"/>
          <w:szCs w:val="32"/>
          <w:lang w:val="en-US" w:eastAsia="zh-CN" w:bidi="ar-SA"/>
        </w:rPr>
        <w:t>四、服务标准及要求</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应建立完善的维保服务体系，严格按照国家、行业及医院相关标准开展工作，确保监控门禁道闸等设备7×24小时正常运行，具体服务标准如下：</w:t>
      </w:r>
    </w:p>
    <w:p>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hint="eastAsia" w:asciiTheme="majorEastAsia" w:hAnsiTheme="majorEastAsia" w:eastAsiaTheme="majorEastAsia" w:cstheme="majorEastAsia"/>
          <w:b/>
          <w:bCs/>
          <w:color w:val="auto"/>
          <w:kern w:val="0"/>
          <w:sz w:val="32"/>
          <w:szCs w:val="32"/>
          <w:lang w:val="en-US" w:eastAsia="zh-CN" w:bidi="ar-SA"/>
        </w:rPr>
      </w:pPr>
      <w:r>
        <w:rPr>
          <w:rFonts w:hint="eastAsia" w:asciiTheme="majorEastAsia" w:hAnsiTheme="majorEastAsia" w:eastAsiaTheme="majorEastAsia" w:cstheme="majorEastAsia"/>
          <w:b/>
          <w:bCs/>
          <w:color w:val="auto"/>
          <w:kern w:val="0"/>
          <w:sz w:val="32"/>
          <w:szCs w:val="32"/>
          <w:lang w:val="en-US" w:eastAsia="zh-CN" w:bidi="ar-SA"/>
        </w:rPr>
        <w:t>（一）故障响应与处理</w:t>
      </w:r>
    </w:p>
    <w:bookmarkEnd w:id="0"/>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接到我院方故障报修通知后：一般故障，1小时内响应，12小时内抵达现场处置；紧急故障，半小时内响应，6小时内抵达现场，现场处置2小时内完成。故障处置完毕，维保商须将设备及软件恢复至原有技术性能指标，出具</w:t>
      </w:r>
      <w:r>
        <w:rPr>
          <w:rFonts w:hint="eastAsia" w:ascii="仿宋_GB2312" w:hAnsi="宋体" w:eastAsia="仿宋_GB2312" w:cs="宋体"/>
          <w:b/>
          <w:color w:val="auto"/>
          <w:kern w:val="0"/>
          <w:sz w:val="32"/>
          <w:szCs w:val="32"/>
          <w:u w:val="single"/>
          <w:lang w:val="en-US" w:eastAsia="zh-CN" w:bidi="ar-SA"/>
        </w:rPr>
        <w:t>故障处置记录</w:t>
      </w:r>
      <w:r>
        <w:rPr>
          <w:rFonts w:hint="eastAsia" w:ascii="仿宋_GB2312" w:hAnsi="宋体" w:eastAsia="仿宋_GB2312" w:cs="宋体"/>
          <w:b w:val="0"/>
          <w:color w:val="auto"/>
          <w:kern w:val="0"/>
          <w:sz w:val="32"/>
          <w:szCs w:val="32"/>
          <w:lang w:val="en-US" w:eastAsia="zh-CN" w:bidi="ar-SA"/>
        </w:rPr>
        <w:t>，经我院方签字确认，纳入当月维保资料，随</w:t>
      </w:r>
      <w:r>
        <w:rPr>
          <w:rFonts w:hint="eastAsia" w:ascii="仿宋_GB2312" w:hAnsi="宋体" w:eastAsia="仿宋_GB2312" w:cs="宋体"/>
          <w:b/>
          <w:color w:val="auto"/>
          <w:kern w:val="0"/>
          <w:sz w:val="32"/>
          <w:szCs w:val="32"/>
          <w:u w:val="single"/>
          <w:lang w:val="en-US" w:eastAsia="zh-CN" w:bidi="ar-SA"/>
        </w:rPr>
        <w:t>月度维保报告</w:t>
      </w:r>
      <w:r>
        <w:rPr>
          <w:rFonts w:hint="eastAsia" w:ascii="仿宋_GB2312" w:hAnsi="宋体" w:eastAsia="仿宋_GB2312" w:cs="宋体"/>
          <w:b w:val="0"/>
          <w:color w:val="auto"/>
          <w:kern w:val="0"/>
          <w:sz w:val="32"/>
          <w:szCs w:val="32"/>
          <w:lang w:val="en-US" w:eastAsia="zh-CN" w:bidi="ar-SA"/>
        </w:rPr>
        <w:t>一并移交我院方归档。</w:t>
      </w:r>
    </w:p>
    <w:p>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hint="eastAsia" w:asciiTheme="majorEastAsia" w:hAnsiTheme="majorEastAsia" w:eastAsiaTheme="majorEastAsia" w:cstheme="majorEastAsia"/>
          <w:b/>
          <w:bCs/>
          <w:color w:val="auto"/>
          <w:kern w:val="0"/>
          <w:sz w:val="32"/>
          <w:szCs w:val="32"/>
          <w:lang w:val="en-US" w:eastAsia="zh-CN" w:bidi="ar-SA"/>
        </w:rPr>
      </w:pPr>
      <w:r>
        <w:rPr>
          <w:rFonts w:hint="eastAsia" w:asciiTheme="majorEastAsia" w:hAnsiTheme="majorEastAsia" w:eastAsiaTheme="majorEastAsia" w:cstheme="majorEastAsia"/>
          <w:b/>
          <w:bCs/>
          <w:color w:val="auto"/>
          <w:kern w:val="0"/>
          <w:sz w:val="32"/>
          <w:szCs w:val="32"/>
          <w:lang w:val="en-US" w:eastAsia="zh-CN" w:bidi="ar-SA"/>
        </w:rPr>
        <w:t>（二）定期检查</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1.每月至少完成1次监控门禁道闸等设备全覆盖检查，对设备运行状态、线路连接、系统软件功能逐项核查测试，真实完整记录检查数据及设备运行情况。</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2.检查发现隐患、设备异常、潜在故障等问题，优先即时处置整改，无法当场处理的及时向我院方报备，同步提交整改及设备修复、更换建议。</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3.每次检查完成后，维保商编制</w:t>
      </w:r>
      <w:r>
        <w:rPr>
          <w:rFonts w:hint="eastAsia" w:ascii="仿宋_GB2312" w:hAnsi="仿宋_GB2312" w:eastAsia="仿宋_GB2312" w:cs="仿宋_GB2312"/>
          <w:b/>
          <w:bCs/>
          <w:color w:val="auto"/>
          <w:kern w:val="0"/>
          <w:sz w:val="32"/>
          <w:szCs w:val="32"/>
          <w:u w:val="single"/>
          <w:lang w:val="en-US" w:eastAsia="zh-CN" w:bidi="ar-SA"/>
        </w:rPr>
        <w:t>月度维保报告</w:t>
      </w:r>
      <w:r>
        <w:rPr>
          <w:rFonts w:hint="eastAsia" w:ascii="仿宋_GB2312" w:hAnsi="仿宋_GB2312" w:eastAsia="仿宋_GB2312" w:cs="仿宋_GB2312"/>
          <w:b w:val="0"/>
          <w:bCs w:val="0"/>
          <w:color w:val="auto"/>
          <w:kern w:val="0"/>
          <w:sz w:val="32"/>
          <w:szCs w:val="32"/>
          <w:lang w:val="en-US" w:eastAsia="zh-CN" w:bidi="ar-SA"/>
        </w:rPr>
        <w:t>，包含当月维保概况、问题处置情况、设备运行分析、后续维保建议；</w:t>
      </w:r>
      <w:r>
        <w:rPr>
          <w:rFonts w:hint="eastAsia" w:ascii="仿宋_GB2312" w:hAnsi="仿宋_GB2312" w:eastAsia="仿宋_GB2312" w:cs="仿宋_GB2312"/>
          <w:b/>
          <w:bCs/>
          <w:color w:val="auto"/>
          <w:kern w:val="0"/>
          <w:sz w:val="32"/>
          <w:szCs w:val="32"/>
          <w:u w:val="single"/>
          <w:lang w:val="en-US" w:eastAsia="zh-CN" w:bidi="ar-SA"/>
        </w:rPr>
        <w:t>维保检查记录</w:t>
      </w:r>
      <w:r>
        <w:rPr>
          <w:rFonts w:hint="eastAsia" w:ascii="仿宋_GB2312" w:hAnsi="仿宋_GB2312" w:eastAsia="仿宋_GB2312" w:cs="仿宋_GB2312"/>
          <w:b/>
          <w:bCs/>
          <w:color w:val="auto"/>
          <w:kern w:val="0"/>
          <w:sz w:val="32"/>
          <w:szCs w:val="32"/>
          <w:lang w:val="en-US" w:eastAsia="zh-CN" w:bidi="ar-SA"/>
        </w:rPr>
        <w:t>、</w:t>
      </w:r>
      <w:r>
        <w:rPr>
          <w:rFonts w:hint="eastAsia" w:ascii="仿宋_GB2312" w:hAnsi="仿宋_GB2312" w:eastAsia="仿宋_GB2312" w:cs="仿宋_GB2312"/>
          <w:b/>
          <w:bCs/>
          <w:color w:val="auto"/>
          <w:kern w:val="0"/>
          <w:sz w:val="32"/>
          <w:szCs w:val="32"/>
          <w:u w:val="single"/>
          <w:lang w:val="en-US" w:eastAsia="zh-CN" w:bidi="ar-SA"/>
        </w:rPr>
        <w:t>故障处置记录</w:t>
      </w:r>
      <w:r>
        <w:rPr>
          <w:rFonts w:hint="eastAsia" w:ascii="仿宋_GB2312" w:hAnsi="仿宋_GB2312" w:eastAsia="仿宋_GB2312" w:cs="仿宋_GB2312"/>
          <w:b/>
          <w:bCs/>
          <w:color w:val="auto"/>
          <w:kern w:val="0"/>
          <w:sz w:val="32"/>
          <w:szCs w:val="32"/>
          <w:lang w:val="en-US" w:eastAsia="zh-CN" w:bidi="ar-SA"/>
        </w:rPr>
        <w:t>、</w:t>
      </w:r>
      <w:r>
        <w:rPr>
          <w:rFonts w:hint="eastAsia" w:ascii="仿宋_GB2312" w:hAnsi="仿宋_GB2312" w:eastAsia="仿宋_GB2312" w:cs="仿宋_GB2312"/>
          <w:b/>
          <w:bCs/>
          <w:color w:val="auto"/>
          <w:kern w:val="0"/>
          <w:sz w:val="32"/>
          <w:szCs w:val="32"/>
          <w:u w:val="single"/>
          <w:lang w:val="en-US" w:eastAsia="zh-CN" w:bidi="ar-SA"/>
        </w:rPr>
        <w:t>配件更换记录</w:t>
      </w:r>
      <w:r>
        <w:rPr>
          <w:rFonts w:hint="eastAsia" w:ascii="仿宋_GB2312" w:hAnsi="仿宋_GB2312" w:eastAsia="仿宋_GB2312" w:cs="仿宋_GB2312"/>
          <w:b w:val="0"/>
          <w:bCs w:val="0"/>
          <w:color w:val="auto"/>
          <w:kern w:val="0"/>
          <w:sz w:val="32"/>
          <w:szCs w:val="32"/>
          <w:lang w:val="en-US" w:eastAsia="zh-CN" w:bidi="ar-SA"/>
        </w:rPr>
        <w:t>作为报告附件。维保商每月收集整理、整理装订后，将</w:t>
      </w:r>
      <w:r>
        <w:rPr>
          <w:rFonts w:hint="eastAsia" w:ascii="仿宋_GB2312" w:hAnsi="仿宋_GB2312" w:eastAsia="仿宋_GB2312" w:cs="仿宋_GB2312"/>
          <w:b/>
          <w:bCs w:val="0"/>
          <w:color w:val="auto"/>
          <w:kern w:val="0"/>
          <w:sz w:val="32"/>
          <w:szCs w:val="32"/>
          <w:u w:val="single"/>
          <w:lang w:val="en-US" w:eastAsia="zh-CN" w:bidi="ar-SA"/>
        </w:rPr>
        <w:t>月度维保报告</w:t>
      </w:r>
      <w:r>
        <w:rPr>
          <w:rFonts w:hint="eastAsia" w:ascii="仿宋_GB2312" w:hAnsi="仿宋_GB2312" w:eastAsia="仿宋_GB2312" w:cs="仿宋_GB2312"/>
          <w:b w:val="0"/>
          <w:bCs w:val="0"/>
          <w:color w:val="auto"/>
          <w:kern w:val="0"/>
          <w:sz w:val="32"/>
          <w:szCs w:val="32"/>
          <w:lang w:val="en-US" w:eastAsia="zh-CN" w:bidi="ar-SA"/>
        </w:rPr>
        <w:t>连同全套附件一并移交我院方留存；维保商可自行留存副本备查。</w:t>
      </w:r>
    </w:p>
    <w:p>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hint="eastAsia" w:asciiTheme="majorEastAsia" w:hAnsiTheme="majorEastAsia" w:eastAsiaTheme="majorEastAsia" w:cstheme="majorEastAsia"/>
          <w:b/>
          <w:bCs/>
          <w:color w:val="auto"/>
          <w:kern w:val="0"/>
          <w:sz w:val="32"/>
          <w:szCs w:val="32"/>
          <w:lang w:val="en-US" w:eastAsia="zh-CN" w:bidi="ar-SA"/>
        </w:rPr>
      </w:pPr>
      <w:r>
        <w:rPr>
          <w:rFonts w:hint="eastAsia" w:asciiTheme="majorEastAsia" w:hAnsiTheme="majorEastAsia" w:eastAsiaTheme="majorEastAsia" w:cstheme="majorEastAsia"/>
          <w:b/>
          <w:bCs/>
          <w:color w:val="auto"/>
          <w:kern w:val="0"/>
          <w:sz w:val="32"/>
          <w:szCs w:val="32"/>
          <w:lang w:val="en-US" w:eastAsia="zh-CN" w:bidi="ar-SA"/>
        </w:rPr>
        <w:t>（三）维修与配件更换</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1.所有维修、更换配件必须为原厂或同规格正品合格配件，保障设备稳定运行，严禁使用三无、翻新、劣质配件。</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2.常规配件更换可先行报备、同步施工；涉及到重大、贵重、高价配件更换需提前向我院方说明更换原因、型号、数量及报价，经我院方确认后实施。所有更换旧配件统一交由我院方回收处置。</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3.配件更换完成后，须提交配件来源说明及质保承诺；原厂配件可提供合格证、质保证明；兼容合格配件提供供应商质保承诺文件，我院方有权对配件质量进行核验。</w:t>
      </w:r>
    </w:p>
    <w:p>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hint="eastAsia" w:ascii="仿宋_GB2312" w:hAnsi="仿宋_GB2312" w:eastAsia="仿宋_GB2312" w:cs="仿宋_GB2312"/>
          <w:b/>
          <w:bCs/>
          <w:color w:val="auto"/>
          <w:kern w:val="0"/>
          <w:sz w:val="32"/>
          <w:szCs w:val="32"/>
          <w:lang w:val="en-US" w:eastAsia="zh-CN" w:bidi="ar-SA"/>
        </w:rPr>
      </w:pPr>
      <w:r>
        <w:rPr>
          <w:rFonts w:hint="eastAsia" w:ascii="仿宋_GB2312" w:hAnsi="仿宋_GB2312" w:eastAsia="仿宋_GB2312" w:cs="仿宋_GB2312"/>
          <w:b/>
          <w:bCs/>
          <w:color w:val="auto"/>
          <w:kern w:val="0"/>
          <w:sz w:val="32"/>
          <w:szCs w:val="32"/>
          <w:lang w:val="en-US" w:eastAsia="zh-CN" w:bidi="ar-SA"/>
        </w:rPr>
        <w:t>（四）技术支持与优化</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1.提供7×24小时无间断技术咨询服务，及时响应我院的技术问题、服务请求。</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2.结合医院安防管理需求，主动为我院提供监控门禁道闸等设备升级、优化、扩容的专业建议，协助我院完成系统改造相关技术工作。</w:t>
      </w:r>
    </w:p>
    <w:p>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hint="eastAsia" w:asciiTheme="majorEastAsia" w:hAnsiTheme="majorEastAsia" w:eastAsiaTheme="majorEastAsia" w:cstheme="majorEastAsia"/>
          <w:b/>
          <w:bCs/>
          <w:color w:val="auto"/>
          <w:kern w:val="0"/>
          <w:sz w:val="32"/>
          <w:szCs w:val="32"/>
          <w:lang w:val="en-US" w:eastAsia="zh-CN" w:bidi="ar-SA"/>
        </w:rPr>
      </w:pPr>
      <w:r>
        <w:rPr>
          <w:rFonts w:hint="eastAsia" w:asciiTheme="majorEastAsia" w:hAnsiTheme="majorEastAsia" w:eastAsiaTheme="majorEastAsia" w:cstheme="majorEastAsia"/>
          <w:b/>
          <w:bCs/>
          <w:color w:val="auto"/>
          <w:kern w:val="0"/>
          <w:sz w:val="32"/>
          <w:szCs w:val="32"/>
          <w:lang w:val="en-US" w:eastAsia="zh-CN" w:bidi="ar-SA"/>
        </w:rPr>
        <w:t>（五）专项配合服务</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1.医院迎接各级安全生产、安防专项检查及重大活动保障时，维保商应按我院方要求派遣1名及以上专业技术人员配合开展检查前准备工作，对监控门禁道闸等设备进行全面排查、调试，确保系统处于最佳运行状态，助力我院方顺利通过检查或完成保障工作。</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2.我院方临时安排的维修、设备调试、技术咨询等工作，维保商应及时、周到配合，不得推诿、拖延。</w:t>
      </w:r>
    </w:p>
    <w:p>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hint="eastAsia" w:asciiTheme="majorEastAsia" w:hAnsiTheme="majorEastAsia" w:eastAsiaTheme="majorEastAsia" w:cstheme="majorEastAsia"/>
          <w:b/>
          <w:bCs/>
          <w:color w:val="auto"/>
          <w:kern w:val="0"/>
          <w:sz w:val="32"/>
          <w:szCs w:val="32"/>
          <w:lang w:val="en-US" w:eastAsia="zh-CN" w:bidi="ar-SA"/>
        </w:rPr>
      </w:pPr>
      <w:r>
        <w:rPr>
          <w:rFonts w:hint="eastAsia" w:asciiTheme="majorEastAsia" w:hAnsiTheme="majorEastAsia" w:eastAsiaTheme="majorEastAsia" w:cstheme="majorEastAsia"/>
          <w:b/>
          <w:bCs/>
          <w:color w:val="auto"/>
          <w:kern w:val="0"/>
          <w:sz w:val="32"/>
          <w:szCs w:val="32"/>
          <w:lang w:val="en-US" w:eastAsia="zh-CN" w:bidi="ar-SA"/>
        </w:rPr>
        <w:t>五、费用结算</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1.维保商承担：维保人员劳务费、管理费、工具使用费、交通费等全部日常维保相关费用。</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2.我院方承担：配件更换费用、设备大修费用；设备升级、改造、扩容产生的相关费用。</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Theme="majorEastAsia" w:hAnsiTheme="majorEastAsia" w:eastAsiaTheme="majorEastAsia" w:cstheme="majorEastAsia"/>
          <w:b/>
          <w:bCs/>
          <w:color w:val="auto"/>
          <w:kern w:val="0"/>
          <w:sz w:val="32"/>
          <w:szCs w:val="32"/>
          <w:lang w:val="en-US" w:eastAsia="zh-CN" w:bidi="ar-SA"/>
        </w:rPr>
      </w:pPr>
      <w:r>
        <w:rPr>
          <w:rFonts w:hint="eastAsia" w:asciiTheme="majorEastAsia" w:hAnsiTheme="majorEastAsia" w:eastAsiaTheme="majorEastAsia" w:cstheme="majorEastAsia"/>
          <w:b w:val="0"/>
          <w:bCs w:val="0"/>
          <w:color w:val="auto"/>
          <w:kern w:val="0"/>
          <w:sz w:val="32"/>
          <w:szCs w:val="32"/>
          <w:lang w:val="en-US" w:eastAsia="zh-CN" w:bidi="ar-SA"/>
        </w:rPr>
        <w:t>配件代购要求</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若我院方委托维保商代购配件</w:t>
      </w:r>
      <w:bookmarkStart w:id="1" w:name="_GoBack"/>
      <w:bookmarkEnd w:id="1"/>
      <w:r>
        <w:rPr>
          <w:rFonts w:hint="eastAsia" w:ascii="仿宋_GB2312" w:hAnsi="仿宋_GB2312" w:eastAsia="仿宋_GB2312" w:cs="仿宋_GB2312"/>
          <w:b w:val="0"/>
          <w:bCs w:val="0"/>
          <w:color w:val="auto"/>
          <w:kern w:val="0"/>
          <w:sz w:val="32"/>
          <w:szCs w:val="32"/>
          <w:lang w:val="en-US" w:eastAsia="zh-CN" w:bidi="ar-SA"/>
        </w:rPr>
        <w:t>，维保商需遵守以下要求：</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1. 应采购原厂同型号或同品质合格产品；原厂产品可提供合格证、质保书；兼容合格配件须提供配件来源说明及质保承诺，并按要求开具正规发票。严禁采购三无、翻新配件。</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2. 代购实施前，维保商须将零配件/设备技术资料、质量证明材料、价格清单提交我院方审核，经我院方确认后方可开展采购及更换施工。</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Theme="majorEastAsia" w:hAnsiTheme="majorEastAsia" w:eastAsiaTheme="majorEastAsia" w:cstheme="majorEastAsia"/>
          <w:b/>
          <w:bCs/>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3. 代购产品的安装、调试由维保商免费完成；相关安装辅材费用按照本条前述费用承担规则执行。</w:t>
      </w:r>
    </w:p>
    <w:p>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hint="eastAsia" w:asciiTheme="majorEastAsia" w:hAnsiTheme="majorEastAsia" w:eastAsiaTheme="majorEastAsia" w:cstheme="majorEastAsia"/>
          <w:b/>
          <w:bCs/>
          <w:color w:val="auto"/>
          <w:kern w:val="0"/>
          <w:sz w:val="32"/>
          <w:szCs w:val="32"/>
          <w:lang w:val="en-US" w:eastAsia="zh-CN" w:bidi="ar-SA"/>
        </w:rPr>
      </w:pPr>
      <w:r>
        <w:rPr>
          <w:rFonts w:hint="eastAsia" w:asciiTheme="majorEastAsia" w:hAnsiTheme="majorEastAsia" w:eastAsiaTheme="majorEastAsia" w:cstheme="majorEastAsia"/>
          <w:b/>
          <w:bCs/>
          <w:color w:val="auto"/>
          <w:kern w:val="0"/>
          <w:sz w:val="32"/>
          <w:szCs w:val="32"/>
          <w:lang w:val="en-US" w:eastAsia="zh-CN" w:bidi="ar-SA"/>
        </w:rPr>
        <w:t>六、资质及人员要求</w:t>
      </w:r>
    </w:p>
    <w:p>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hint="eastAsia" w:asciiTheme="majorEastAsia" w:hAnsiTheme="majorEastAsia" w:eastAsiaTheme="majorEastAsia" w:cstheme="majorEastAsia"/>
          <w:b/>
          <w:bCs/>
          <w:color w:val="auto"/>
          <w:kern w:val="0"/>
          <w:sz w:val="32"/>
          <w:szCs w:val="32"/>
          <w:lang w:val="en-US" w:eastAsia="zh-CN" w:bidi="ar-SA"/>
        </w:rPr>
      </w:pPr>
      <w:r>
        <w:rPr>
          <w:rFonts w:hint="eastAsia" w:asciiTheme="majorEastAsia" w:hAnsiTheme="majorEastAsia" w:eastAsiaTheme="majorEastAsia" w:cstheme="majorEastAsia"/>
          <w:b/>
          <w:bCs/>
          <w:color w:val="auto"/>
          <w:kern w:val="0"/>
          <w:sz w:val="32"/>
          <w:szCs w:val="32"/>
          <w:lang w:val="en-US" w:eastAsia="zh-CN" w:bidi="ar-SA"/>
        </w:rPr>
        <w:t>（一）人员资质要求</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1.所有维保人员身体健康，无违法犯罪记录，具备良好的职业素养和服务意识，能适应医院24小时应急维保需求。</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2.拟投入维保人员需持有建筑智能或计算机或机电设备维修等相关专业职称证书（初级及以上）。</w:t>
      </w:r>
    </w:p>
    <w:p>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hint="eastAsia" w:asciiTheme="majorEastAsia" w:hAnsiTheme="majorEastAsia" w:eastAsiaTheme="majorEastAsia" w:cstheme="majorEastAsia"/>
          <w:b/>
          <w:bCs/>
          <w:color w:val="auto"/>
          <w:kern w:val="0"/>
          <w:sz w:val="32"/>
          <w:szCs w:val="32"/>
          <w:lang w:val="en-US" w:eastAsia="zh-CN" w:bidi="ar-SA"/>
        </w:rPr>
      </w:pPr>
      <w:r>
        <w:rPr>
          <w:rFonts w:hint="eastAsia" w:asciiTheme="majorEastAsia" w:hAnsiTheme="majorEastAsia" w:eastAsiaTheme="majorEastAsia" w:cstheme="majorEastAsia"/>
          <w:b/>
          <w:bCs/>
          <w:color w:val="auto"/>
          <w:kern w:val="0"/>
          <w:sz w:val="32"/>
          <w:szCs w:val="32"/>
          <w:lang w:val="en-US" w:eastAsia="zh-CN" w:bidi="ar-SA"/>
        </w:rPr>
        <w:t>（二）现场操作要求</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1.维保人员在医院现场作业时，需严格遵守医院的各项规章制度，佩戴工牌、着装规范。</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2.对维保操作现场的卫生、安全负责，作业后及时清理现场杂物，严禁在作业现场吸烟、乱扔垃圾、大声喧哗。</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3.作业过程中避免对医院正常诊疗、运营秩序造成影响，如需进行大面积施工、停机调试，需提前与我院方沟通，确定作业时间并发布通知。</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4.维保商人员在维保作业中违反安全操作规范、现场管理规定或技术标准，我院方有权依据考核细则予以扣分、罚款、限期整改，由此造成的一切损失由维保商承担。</w:t>
      </w:r>
    </w:p>
    <w:p>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hint="eastAsia" w:asciiTheme="majorEastAsia" w:hAnsiTheme="majorEastAsia" w:eastAsiaTheme="majorEastAsia" w:cstheme="majorEastAsia"/>
          <w:b/>
          <w:bCs/>
          <w:color w:val="auto"/>
          <w:kern w:val="0"/>
          <w:sz w:val="32"/>
          <w:szCs w:val="32"/>
          <w:lang w:val="en-US" w:eastAsia="zh-CN" w:bidi="ar-SA"/>
        </w:rPr>
      </w:pPr>
      <w:r>
        <w:rPr>
          <w:rFonts w:hint="eastAsia" w:asciiTheme="majorEastAsia" w:hAnsiTheme="majorEastAsia" w:eastAsiaTheme="majorEastAsia" w:cstheme="majorEastAsia"/>
          <w:b/>
          <w:bCs/>
          <w:color w:val="auto"/>
          <w:kern w:val="0"/>
          <w:sz w:val="32"/>
          <w:szCs w:val="32"/>
          <w:lang w:val="en-US" w:eastAsia="zh-CN" w:bidi="ar-SA"/>
        </w:rPr>
        <w:t>七、服务考核</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我院方将建立常态化、月度维保服务考核机制，考核结果作为维保商服务质量评价、费用结算、合同续签的重要依据，具体考核标准详见附件1：维保服务考核表（月度），每月开展1次考核，由我院方主管部门组织实施，维保商配合提供相关维保资料。</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考核分值：考核总分100分，90分及以上为优秀，80分-89分为合格，80分以下为不合格。根据维保商故障处理、服务响应、检查工作等方面的工作质量进行评分。</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考核结果应用：考核分低于80分的，我院方有权要求维保商限期整改；三次考核不合格的，我院方有权单方面解除维保合同，维保商承担相应违约责任。</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维保商对考核结果有异议的，可在收到考核结果后3个工作日内向我院方提出书面复核申请，我院方在5个工作日内完成复核并反馈结果。</w:t>
      </w:r>
    </w:p>
    <w:p>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hint="eastAsia" w:asciiTheme="majorEastAsia" w:hAnsiTheme="majorEastAsia" w:eastAsiaTheme="majorEastAsia" w:cstheme="majorEastAsia"/>
          <w:b/>
          <w:bCs/>
          <w:color w:val="auto"/>
          <w:kern w:val="0"/>
          <w:sz w:val="32"/>
          <w:szCs w:val="32"/>
          <w:lang w:val="en-US" w:eastAsia="zh-CN" w:bidi="ar-SA"/>
        </w:rPr>
      </w:pPr>
      <w:r>
        <w:rPr>
          <w:rFonts w:hint="eastAsia" w:asciiTheme="majorEastAsia" w:hAnsiTheme="majorEastAsia" w:eastAsiaTheme="majorEastAsia" w:cstheme="majorEastAsia"/>
          <w:b/>
          <w:bCs/>
          <w:color w:val="auto"/>
          <w:kern w:val="0"/>
          <w:sz w:val="32"/>
          <w:szCs w:val="32"/>
          <w:lang w:val="en-US" w:eastAsia="zh-CN" w:bidi="ar-SA"/>
        </w:rPr>
        <w:t>八、其他约定</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本维保服务周期为一年半（18个月），自双方签订合同之日起计算。</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1.维保商需在合同签订后3个工作日内完成维保团队进场、设备全面排查、资料交接等工作，建立完整设备台账与维保档案。</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2.维保期间，维保商收集整理全部维保资料，包含</w:t>
      </w:r>
      <w:r>
        <w:rPr>
          <w:rFonts w:hint="eastAsia" w:ascii="仿宋_GB2312" w:hAnsi="宋体" w:eastAsia="仿宋_GB2312" w:cs="宋体"/>
          <w:b/>
          <w:color w:val="auto"/>
          <w:kern w:val="0"/>
          <w:sz w:val="32"/>
          <w:szCs w:val="32"/>
          <w:u w:val="single"/>
          <w:lang w:val="en-US" w:eastAsia="zh-CN" w:bidi="ar-SA"/>
        </w:rPr>
        <w:t>月度维保报告</w:t>
      </w:r>
      <w:r>
        <w:rPr>
          <w:rFonts w:hint="eastAsia" w:ascii="仿宋_GB2312" w:hAnsi="宋体" w:eastAsia="仿宋_GB2312" w:cs="宋体"/>
          <w:b w:val="0"/>
          <w:color w:val="auto"/>
          <w:kern w:val="0"/>
          <w:sz w:val="32"/>
          <w:szCs w:val="32"/>
          <w:lang w:val="en-US" w:eastAsia="zh-CN" w:bidi="ar-SA"/>
        </w:rPr>
        <w:t>及配套附件（</w:t>
      </w:r>
      <w:r>
        <w:rPr>
          <w:rFonts w:hint="eastAsia" w:ascii="仿宋_GB2312" w:hAnsi="宋体" w:eastAsia="仿宋_GB2312" w:cs="宋体"/>
          <w:b/>
          <w:bCs/>
          <w:color w:val="auto"/>
          <w:kern w:val="0"/>
          <w:sz w:val="32"/>
          <w:szCs w:val="32"/>
          <w:u w:val="single"/>
          <w:lang w:val="en-US" w:eastAsia="zh-CN" w:bidi="ar-SA"/>
        </w:rPr>
        <w:t>维保检</w:t>
      </w:r>
      <w:r>
        <w:rPr>
          <w:rFonts w:hint="eastAsia" w:ascii="仿宋_GB2312" w:hAnsi="宋体" w:eastAsia="仿宋_GB2312" w:cs="宋体"/>
          <w:b/>
          <w:color w:val="auto"/>
          <w:kern w:val="0"/>
          <w:sz w:val="32"/>
          <w:szCs w:val="32"/>
          <w:u w:val="single"/>
          <w:lang w:val="en-US" w:eastAsia="zh-CN" w:bidi="ar-SA"/>
        </w:rPr>
        <w:t>查记录</w:t>
      </w:r>
      <w:r>
        <w:rPr>
          <w:rFonts w:hint="eastAsia" w:ascii="仿宋_GB2312" w:hAnsi="宋体" w:eastAsia="仿宋_GB2312" w:cs="宋体"/>
          <w:b w:val="0"/>
          <w:color w:val="auto"/>
          <w:kern w:val="0"/>
          <w:sz w:val="32"/>
          <w:szCs w:val="32"/>
          <w:lang w:val="en-US" w:eastAsia="zh-CN" w:bidi="ar-SA"/>
        </w:rPr>
        <w:t>、</w:t>
      </w:r>
      <w:r>
        <w:rPr>
          <w:rFonts w:hint="eastAsia" w:ascii="仿宋_GB2312" w:hAnsi="宋体" w:eastAsia="仿宋_GB2312" w:cs="宋体"/>
          <w:b/>
          <w:color w:val="auto"/>
          <w:kern w:val="0"/>
          <w:sz w:val="32"/>
          <w:szCs w:val="32"/>
          <w:u w:val="single"/>
          <w:lang w:val="en-US" w:eastAsia="zh-CN" w:bidi="ar-SA"/>
        </w:rPr>
        <w:t>故障处置记录</w:t>
      </w:r>
      <w:r>
        <w:rPr>
          <w:rFonts w:hint="eastAsia" w:ascii="仿宋_GB2312" w:hAnsi="宋体" w:eastAsia="仿宋_GB2312" w:cs="宋体"/>
          <w:b w:val="0"/>
          <w:color w:val="auto"/>
          <w:kern w:val="0"/>
          <w:sz w:val="32"/>
          <w:szCs w:val="32"/>
          <w:lang w:val="en-US" w:eastAsia="zh-CN" w:bidi="ar-SA"/>
        </w:rPr>
        <w:t>、</w:t>
      </w:r>
      <w:r>
        <w:rPr>
          <w:rFonts w:hint="eastAsia" w:ascii="仿宋_GB2312" w:hAnsi="宋体" w:eastAsia="仿宋_GB2312" w:cs="宋体"/>
          <w:b/>
          <w:color w:val="auto"/>
          <w:kern w:val="0"/>
          <w:sz w:val="32"/>
          <w:szCs w:val="32"/>
          <w:u w:val="single"/>
          <w:lang w:val="en-US" w:eastAsia="zh-CN" w:bidi="ar-SA"/>
        </w:rPr>
        <w:t>配件更换记录</w:t>
      </w:r>
      <w:r>
        <w:rPr>
          <w:rFonts w:hint="eastAsia" w:ascii="仿宋_GB2312" w:hAnsi="宋体" w:eastAsia="仿宋_GB2312" w:cs="宋体"/>
          <w:b w:val="0"/>
          <w:color w:val="auto"/>
          <w:kern w:val="0"/>
          <w:sz w:val="32"/>
          <w:szCs w:val="32"/>
          <w:lang w:val="en-US" w:eastAsia="zh-CN" w:bidi="ar-SA"/>
        </w:rPr>
        <w:t>等），每月整理装订后移交我院方留存；维保商可自行留存副本备查。</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3.维保商维保人员在现场作业过程中，因维保商操作不当、管理疏漏造成我院方设备损坏、财产损失或人员伤害的，由维保商承担全部赔偿责任。</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本采购需求未尽事宜，由甲乙双方协商后签订补充协议，补充协议与本需求具有同等法律效力。</w:t>
      </w:r>
    </w:p>
    <w:p>
      <w:pPr>
        <w:spacing w:line="500" w:lineRule="exact"/>
        <w:rPr>
          <w:rFonts w:hint="eastAsia" w:ascii="仿宋_GB2312" w:hAnsi="宋体" w:eastAsia="仿宋_GB2312" w:cs="宋体"/>
          <w:b w:val="0"/>
          <w:color w:val="auto"/>
          <w:kern w:val="0"/>
          <w:sz w:val="32"/>
          <w:szCs w:val="32"/>
          <w:lang w:val="en-US" w:eastAsia="zh-CN" w:bidi="ar-SA"/>
        </w:rPr>
      </w:pPr>
    </w:p>
    <w:p>
      <w:pPr>
        <w:spacing w:line="500" w:lineRule="exact"/>
        <w:rPr>
          <w:rFonts w:hint="eastAsia" w:ascii="仿宋_GB2312" w:hAnsi="宋体" w:eastAsia="仿宋_GB2312" w:cs="宋体"/>
          <w:b w:val="0"/>
          <w:color w:val="auto"/>
          <w:kern w:val="0"/>
          <w:sz w:val="32"/>
          <w:szCs w:val="32"/>
          <w:lang w:val="en-US" w:eastAsia="zh-CN" w:bidi="ar-SA"/>
        </w:rPr>
      </w:pPr>
    </w:p>
    <w:p>
      <w:pPr>
        <w:spacing w:line="500" w:lineRule="exact"/>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附件：1.维保服务考核表（月度）</w:t>
      </w:r>
    </w:p>
    <w:p>
      <w:pPr>
        <w:spacing w:line="500" w:lineRule="exact"/>
        <w:ind w:firstLine="960" w:firstLineChars="300"/>
        <w:rPr>
          <w:rFonts w:hint="eastAsia" w:ascii="仿宋_GB2312" w:hAnsi="宋体" w:eastAsia="仿宋_GB2312" w:cs="宋体"/>
          <w:b w:val="0"/>
          <w:color w:val="auto"/>
          <w:kern w:val="0"/>
          <w:sz w:val="32"/>
          <w:szCs w:val="32"/>
          <w:lang w:val="en-US" w:eastAsia="zh-CN" w:bidi="ar-SA"/>
        </w:rPr>
      </w:pPr>
      <w:r>
        <w:rPr>
          <w:rFonts w:hint="eastAsia" w:ascii="仿宋_GB2312" w:hAnsi="宋体" w:eastAsia="仿宋_GB2312" w:cs="宋体"/>
          <w:b w:val="0"/>
          <w:color w:val="auto"/>
          <w:kern w:val="0"/>
          <w:sz w:val="32"/>
          <w:szCs w:val="32"/>
          <w:lang w:val="en-US" w:eastAsia="zh-CN" w:bidi="ar-SA"/>
        </w:rPr>
        <w:t>2.监控门禁道闸等设备维保清单（维保方准备）</w:t>
      </w:r>
    </w:p>
    <w:p>
      <w:pPr>
        <w:spacing w:line="500" w:lineRule="exact"/>
        <w:ind w:firstLine="960" w:firstLineChars="300"/>
        <w:rPr>
          <w:rFonts w:hint="eastAsia" w:ascii="仿宋_GB2312" w:hAnsi="宋体" w:eastAsia="仿宋_GB2312" w:cs="宋体"/>
          <w:b w:val="0"/>
          <w:bCs w:val="0"/>
          <w:color w:val="auto"/>
          <w:kern w:val="0"/>
          <w:sz w:val="32"/>
          <w:szCs w:val="32"/>
          <w:u w:val="none"/>
          <w:lang w:val="en-US" w:eastAsia="zh-CN" w:bidi="ar-SA"/>
        </w:rPr>
      </w:pPr>
      <w:r>
        <w:rPr>
          <w:rFonts w:hint="eastAsia" w:ascii="仿宋_GB2312" w:hAnsi="宋体" w:eastAsia="仿宋_GB2312" w:cs="宋体"/>
          <w:b w:val="0"/>
          <w:bCs w:val="0"/>
          <w:color w:val="auto"/>
          <w:kern w:val="0"/>
          <w:sz w:val="32"/>
          <w:szCs w:val="32"/>
          <w:u w:val="none"/>
          <w:lang w:val="en-US" w:eastAsia="zh-CN" w:bidi="ar-SA"/>
        </w:rPr>
        <w:t>3.维保检查记录、故障处置记录、配件更换记录（维保方准备）</w:t>
      </w:r>
    </w:p>
    <w:p>
      <w:pPr>
        <w:spacing w:line="500" w:lineRule="exact"/>
        <w:ind w:firstLine="960" w:firstLineChars="300"/>
        <w:rPr>
          <w:rFonts w:hint="eastAsia" w:ascii="方正小标宋简体" w:hAnsi="方正小标宋简体" w:eastAsia="方正小标宋简体" w:cs="方正小标宋简体"/>
          <w:color w:val="auto"/>
          <w:kern w:val="0"/>
          <w:sz w:val="44"/>
          <w:szCs w:val="44"/>
          <w:lang w:eastAsia="zh-CN"/>
        </w:rPr>
      </w:pPr>
      <w:r>
        <w:rPr>
          <w:rFonts w:hint="eastAsia" w:ascii="仿宋_GB2312" w:hAnsi="宋体" w:eastAsia="仿宋_GB2312" w:cs="宋体"/>
          <w:b w:val="0"/>
          <w:color w:val="auto"/>
          <w:kern w:val="0"/>
          <w:sz w:val="32"/>
          <w:szCs w:val="32"/>
          <w:lang w:val="en-US" w:eastAsia="zh-CN" w:bidi="ar-SA"/>
        </w:rPr>
        <w:t>4.监控门禁道闸等设备</w:t>
      </w:r>
      <w:r>
        <w:rPr>
          <w:rFonts w:hint="eastAsia" w:ascii="仿宋_GB2312" w:hAnsi="宋体" w:eastAsia="仿宋_GB2312" w:cs="宋体"/>
          <w:b w:val="0"/>
          <w:bCs/>
          <w:color w:val="auto"/>
          <w:kern w:val="0"/>
          <w:sz w:val="32"/>
          <w:szCs w:val="32"/>
          <w:u w:val="none"/>
          <w:lang w:val="en-US" w:eastAsia="zh-CN" w:bidi="ar-SA"/>
        </w:rPr>
        <w:t>维保报告（维保方准备）</w:t>
      </w:r>
    </w:p>
    <w:p>
      <w:pPr>
        <w:spacing w:line="500" w:lineRule="exact"/>
        <w:jc w:val="both"/>
        <w:rPr>
          <w:rFonts w:hint="eastAsia" w:ascii="方正小标宋简体" w:hAnsi="方正小标宋简体" w:eastAsia="方正小标宋简体" w:cs="方正小标宋简体"/>
          <w:kern w:val="0"/>
          <w:sz w:val="44"/>
          <w:szCs w:val="44"/>
          <w:lang w:eastAsia="zh-CN"/>
        </w:rPr>
      </w:pPr>
    </w:p>
    <w:p>
      <w:pPr>
        <w:spacing w:line="500" w:lineRule="exact"/>
        <w:jc w:val="both"/>
        <w:rPr>
          <w:rFonts w:hint="eastAsia" w:ascii="方正小标宋简体" w:hAnsi="方正小标宋简体" w:eastAsia="方正小标宋简体" w:cs="方正小标宋简体"/>
          <w:kern w:val="0"/>
          <w:sz w:val="44"/>
          <w:szCs w:val="44"/>
          <w:lang w:eastAsia="zh-CN"/>
        </w:rPr>
      </w:pPr>
    </w:p>
    <w:p>
      <w:pPr>
        <w:spacing w:line="500" w:lineRule="exact"/>
        <w:jc w:val="both"/>
        <w:rPr>
          <w:rFonts w:hint="eastAsia" w:ascii="方正小标宋简体" w:hAnsi="方正小标宋简体" w:eastAsia="方正小标宋简体" w:cs="方正小标宋简体"/>
          <w:kern w:val="0"/>
          <w:sz w:val="44"/>
          <w:szCs w:val="44"/>
          <w:lang w:eastAsia="zh-CN"/>
        </w:rPr>
      </w:pPr>
    </w:p>
    <w:p>
      <w:pPr>
        <w:spacing w:line="500" w:lineRule="exact"/>
        <w:jc w:val="both"/>
        <w:rPr>
          <w:rFonts w:hint="eastAsia" w:ascii="方正小标宋简体" w:hAnsi="方正小标宋简体" w:eastAsia="方正小标宋简体" w:cs="方正小标宋简体"/>
          <w:kern w:val="0"/>
          <w:sz w:val="44"/>
          <w:szCs w:val="44"/>
          <w:lang w:eastAsia="zh-CN"/>
        </w:rPr>
      </w:pPr>
    </w:p>
    <w:p>
      <w:pPr>
        <w:spacing w:line="500" w:lineRule="exact"/>
        <w:jc w:val="both"/>
        <w:rPr>
          <w:rFonts w:hint="eastAsia" w:ascii="方正小标宋简体" w:hAnsi="方正小标宋简体" w:eastAsia="方正小标宋简体" w:cs="方正小标宋简体"/>
          <w:kern w:val="0"/>
          <w:sz w:val="44"/>
          <w:szCs w:val="44"/>
          <w:lang w:eastAsia="zh-CN"/>
        </w:rPr>
      </w:pPr>
    </w:p>
    <w:p>
      <w:pPr>
        <w:spacing w:line="500" w:lineRule="exact"/>
        <w:jc w:val="both"/>
        <w:rPr>
          <w:rFonts w:hint="eastAsia" w:ascii="方正小标宋简体" w:hAnsi="方正小标宋简体" w:eastAsia="方正小标宋简体" w:cs="方正小标宋简体"/>
          <w:kern w:val="0"/>
          <w:sz w:val="44"/>
          <w:szCs w:val="44"/>
          <w:lang w:eastAsia="zh-CN"/>
        </w:rPr>
      </w:pPr>
    </w:p>
    <w:p>
      <w:pPr>
        <w:spacing w:line="500" w:lineRule="exact"/>
        <w:jc w:val="both"/>
        <w:rPr>
          <w:rFonts w:hint="eastAsia" w:ascii="方正小标宋简体" w:hAnsi="方正小标宋简体" w:eastAsia="方正小标宋简体" w:cs="方正小标宋简体"/>
          <w:kern w:val="0"/>
          <w:sz w:val="44"/>
          <w:szCs w:val="44"/>
          <w:lang w:eastAsia="zh-CN"/>
        </w:rPr>
      </w:pPr>
    </w:p>
    <w:p>
      <w:pPr>
        <w:spacing w:line="500" w:lineRule="exact"/>
        <w:jc w:val="both"/>
        <w:rPr>
          <w:rFonts w:hint="eastAsia" w:ascii="方正小标宋简体" w:hAnsi="方正小标宋简体" w:eastAsia="方正小标宋简体" w:cs="方正小标宋简体"/>
          <w:kern w:val="0"/>
          <w:sz w:val="44"/>
          <w:szCs w:val="44"/>
          <w:lang w:eastAsia="zh-CN"/>
        </w:rPr>
      </w:pPr>
    </w:p>
    <w:p>
      <w:pPr>
        <w:spacing w:line="500" w:lineRule="exact"/>
        <w:jc w:val="both"/>
        <w:rPr>
          <w:rFonts w:hint="eastAsia" w:ascii="方正小标宋简体" w:hAnsi="方正小标宋简体" w:eastAsia="方正小标宋简体" w:cs="方正小标宋简体"/>
          <w:kern w:val="0"/>
          <w:sz w:val="44"/>
          <w:szCs w:val="44"/>
          <w:lang w:eastAsia="zh-CN"/>
        </w:rPr>
      </w:pPr>
    </w:p>
    <w:p>
      <w:pPr>
        <w:spacing w:line="500" w:lineRule="exact"/>
        <w:jc w:val="both"/>
        <w:rPr>
          <w:rFonts w:hint="eastAsia" w:ascii="方正小标宋简体" w:hAnsi="方正小标宋简体" w:eastAsia="方正小标宋简体" w:cs="方正小标宋简体"/>
          <w:kern w:val="0"/>
          <w:sz w:val="44"/>
          <w:szCs w:val="44"/>
          <w:lang w:eastAsia="zh-CN"/>
        </w:rPr>
      </w:pPr>
    </w:p>
    <w:p>
      <w:pPr>
        <w:spacing w:line="500" w:lineRule="exact"/>
        <w:jc w:val="both"/>
        <w:rPr>
          <w:rFonts w:hint="eastAsia" w:ascii="方正小标宋简体" w:hAnsi="方正小标宋简体" w:eastAsia="方正小标宋简体" w:cs="方正小标宋简体"/>
          <w:kern w:val="0"/>
          <w:sz w:val="44"/>
          <w:szCs w:val="44"/>
          <w:lang w:eastAsia="zh-CN"/>
        </w:rPr>
      </w:pPr>
    </w:p>
    <w:p>
      <w:pPr>
        <w:spacing w:line="500" w:lineRule="exact"/>
        <w:jc w:val="both"/>
        <w:rPr>
          <w:rFonts w:hint="eastAsia" w:ascii="方正小标宋简体" w:hAnsi="方正小标宋简体" w:eastAsia="方正小标宋简体" w:cs="方正小标宋简体"/>
          <w:kern w:val="0"/>
          <w:sz w:val="44"/>
          <w:szCs w:val="44"/>
          <w:lang w:eastAsia="zh-CN"/>
        </w:rPr>
      </w:pPr>
    </w:p>
    <w:p>
      <w:pPr>
        <w:spacing w:line="500" w:lineRule="exact"/>
        <w:jc w:val="both"/>
        <w:rPr>
          <w:rFonts w:hint="eastAsia" w:ascii="方正小标宋简体" w:hAnsi="方正小标宋简体" w:eastAsia="方正小标宋简体" w:cs="方正小标宋简体"/>
          <w:kern w:val="0"/>
          <w:sz w:val="44"/>
          <w:szCs w:val="44"/>
          <w:lang w:eastAsia="zh-CN"/>
        </w:rPr>
      </w:pPr>
    </w:p>
    <w:p>
      <w:pPr>
        <w:spacing w:line="500" w:lineRule="exact"/>
        <w:jc w:val="both"/>
        <w:rPr>
          <w:rFonts w:hint="eastAsia" w:ascii="方正小标宋简体" w:hAnsi="方正小标宋简体" w:eastAsia="方正小标宋简体" w:cs="方正小标宋简体"/>
          <w:kern w:val="0"/>
          <w:sz w:val="44"/>
          <w:szCs w:val="44"/>
          <w:lang w:eastAsia="zh-CN"/>
        </w:rPr>
      </w:pPr>
    </w:p>
    <w:p>
      <w:pPr>
        <w:spacing w:line="500" w:lineRule="exact"/>
        <w:jc w:val="both"/>
        <w:rPr>
          <w:rFonts w:hint="eastAsia" w:ascii="方正小标宋简体" w:hAnsi="方正小标宋简体" w:eastAsia="方正小标宋简体" w:cs="方正小标宋简体"/>
          <w:kern w:val="0"/>
          <w:sz w:val="44"/>
          <w:szCs w:val="44"/>
          <w:lang w:val="en-US" w:eastAsia="zh-CN"/>
        </w:rPr>
      </w:pPr>
      <w:r>
        <w:rPr>
          <w:rFonts w:hint="eastAsia" w:ascii="方正小标宋简体" w:hAnsi="方正小标宋简体" w:eastAsia="方正小标宋简体" w:cs="方正小标宋简体"/>
          <w:kern w:val="0"/>
          <w:sz w:val="44"/>
          <w:szCs w:val="44"/>
          <w:lang w:eastAsia="zh-CN"/>
        </w:rPr>
        <w:t>附件</w:t>
      </w:r>
      <w:r>
        <w:rPr>
          <w:rFonts w:hint="eastAsia" w:ascii="方正小标宋简体" w:hAnsi="方正小标宋简体" w:eastAsia="方正小标宋简体" w:cs="方正小标宋简体"/>
          <w:kern w:val="0"/>
          <w:sz w:val="44"/>
          <w:szCs w:val="44"/>
          <w:lang w:val="en-US" w:eastAsia="zh-CN"/>
        </w:rPr>
        <w:t xml:space="preserve">1：           </w:t>
      </w:r>
    </w:p>
    <w:p>
      <w:pPr>
        <w:spacing w:line="500" w:lineRule="exact"/>
        <w:jc w:val="center"/>
        <w:rPr>
          <w:rFonts w:hint="eastAsia" w:ascii="方正小标宋简体" w:hAnsi="方正小标宋简体" w:eastAsia="方正小标宋简体" w:cs="方正小标宋简体"/>
          <w:kern w:val="0"/>
          <w:sz w:val="44"/>
          <w:szCs w:val="44"/>
          <w:lang w:eastAsia="zh-CN"/>
        </w:rPr>
      </w:pPr>
      <w:r>
        <w:rPr>
          <w:rFonts w:hint="eastAsia" w:ascii="方正小标宋简体" w:hAnsi="方正小标宋简体" w:eastAsia="方正小标宋简体" w:cs="方正小标宋简体"/>
          <w:kern w:val="0"/>
          <w:sz w:val="44"/>
          <w:szCs w:val="44"/>
        </w:rPr>
        <w:t>维保服务考核表</w:t>
      </w:r>
      <w:r>
        <w:rPr>
          <w:rFonts w:hint="eastAsia" w:ascii="方正小标宋简体" w:hAnsi="方正小标宋简体" w:eastAsia="方正小标宋简体" w:cs="方正小标宋简体"/>
          <w:kern w:val="0"/>
          <w:sz w:val="44"/>
          <w:szCs w:val="44"/>
          <w:lang w:eastAsia="zh-CN"/>
        </w:rPr>
        <w:t>（月</w:t>
      </w:r>
      <w:r>
        <w:rPr>
          <w:rFonts w:hint="eastAsia" w:ascii="方正小标宋简体" w:hAnsi="方正小标宋简体" w:eastAsia="方正小标宋简体" w:cs="方正小标宋简体"/>
          <w:kern w:val="0"/>
          <w:sz w:val="44"/>
          <w:szCs w:val="44"/>
        </w:rPr>
        <w:t>度</w:t>
      </w:r>
      <w:r>
        <w:rPr>
          <w:rFonts w:hint="eastAsia" w:ascii="方正小标宋简体" w:hAnsi="方正小标宋简体" w:eastAsia="方正小标宋简体" w:cs="方正小标宋简体"/>
          <w:kern w:val="0"/>
          <w:sz w:val="44"/>
          <w:szCs w:val="44"/>
          <w:lang w:eastAsia="zh-CN"/>
        </w:rPr>
        <w:t>）</w:t>
      </w:r>
    </w:p>
    <w:tbl>
      <w:tblPr>
        <w:tblStyle w:val="8"/>
        <w:tblpPr w:leftFromText="180" w:rightFromText="180" w:vertAnchor="text" w:horzAnchor="page" w:tblpX="960" w:tblpY="1107"/>
        <w:tblOverlap w:val="never"/>
        <w:tblW w:w="10332" w:type="dxa"/>
        <w:tblInd w:w="0" w:type="dxa"/>
        <w:tblLayout w:type="fixed"/>
        <w:tblCellMar>
          <w:top w:w="0" w:type="dxa"/>
          <w:left w:w="108" w:type="dxa"/>
          <w:bottom w:w="0" w:type="dxa"/>
          <w:right w:w="108" w:type="dxa"/>
        </w:tblCellMar>
      </w:tblPr>
      <w:tblGrid>
        <w:gridCol w:w="780"/>
        <w:gridCol w:w="835"/>
        <w:gridCol w:w="1036"/>
        <w:gridCol w:w="2804"/>
        <w:gridCol w:w="2156"/>
        <w:gridCol w:w="1064"/>
        <w:gridCol w:w="1657"/>
      </w:tblGrid>
      <w:tr>
        <w:tblPrEx>
          <w:tblCellMar>
            <w:top w:w="0" w:type="dxa"/>
            <w:left w:w="108" w:type="dxa"/>
            <w:bottom w:w="0" w:type="dxa"/>
            <w:right w:w="108" w:type="dxa"/>
          </w:tblCellMar>
        </w:tblPrEx>
        <w:trPr>
          <w:trHeight w:val="4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rPr>
              <w:t>序号</w:t>
            </w:r>
          </w:p>
        </w:tc>
        <w:tc>
          <w:tcPr>
            <w:tcW w:w="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考核</w:t>
            </w:r>
          </w:p>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rPr>
              <w:t>项目</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rPr>
              <w:t>分值</w:t>
            </w:r>
          </w:p>
        </w:tc>
        <w:tc>
          <w:tcPr>
            <w:tcW w:w="49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rPr>
              <w:t>考核要求</w:t>
            </w: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实际</w:t>
            </w:r>
          </w:p>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rPr>
              <w:t>得分</w:t>
            </w: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rPr>
              <w:t>备注（扣分原因）</w:t>
            </w:r>
          </w:p>
        </w:tc>
      </w:tr>
      <w:tr>
        <w:tblPrEx>
          <w:tblCellMar>
            <w:top w:w="0" w:type="dxa"/>
            <w:left w:w="108" w:type="dxa"/>
            <w:bottom w:w="0" w:type="dxa"/>
            <w:right w:w="108" w:type="dxa"/>
          </w:tblCellMar>
        </w:tblPrEx>
        <w:trPr>
          <w:trHeight w:val="895" w:hRule="atLeast"/>
        </w:trPr>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themeColor="text1"/>
                <w:sz w:val="22"/>
                <w:szCs w:val="22"/>
                <w14:textFill>
                  <w14:solidFill>
                    <w14:schemeClr w14:val="tx1"/>
                  </w14:solidFill>
                </w14:textFill>
              </w:rPr>
            </w:pPr>
            <w:r>
              <w:rPr>
                <w:rFonts w:hint="eastAsia" w:ascii="宋体" w:hAnsi="宋体" w:eastAsia="宋体" w:cs="宋体"/>
                <w:b/>
                <w:bCs/>
                <w:color w:val="000000" w:themeColor="text1"/>
                <w:kern w:val="0"/>
                <w:sz w:val="22"/>
                <w:szCs w:val="22"/>
                <w14:textFill>
                  <w14:solidFill>
                    <w14:schemeClr w14:val="tx1"/>
                  </w14:solidFill>
                </w14:textFill>
              </w:rPr>
              <w:t>1</w:t>
            </w:r>
          </w:p>
        </w:tc>
        <w:tc>
          <w:tcPr>
            <w:tcW w:w="8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themeColor="text1"/>
                <w:sz w:val="22"/>
                <w:szCs w:val="22"/>
                <w14:textFill>
                  <w14:solidFill>
                    <w14:schemeClr w14:val="tx1"/>
                  </w14:solidFill>
                </w14:textFill>
              </w:rPr>
            </w:pPr>
            <w:r>
              <w:rPr>
                <w:rFonts w:hint="eastAsia" w:ascii="宋体" w:hAnsi="宋体" w:eastAsia="宋体" w:cs="宋体"/>
                <w:b/>
                <w:bCs/>
                <w:color w:val="000000" w:themeColor="text1"/>
                <w:kern w:val="0"/>
                <w:sz w:val="22"/>
                <w:szCs w:val="22"/>
                <w14:textFill>
                  <w14:solidFill>
                    <w14:schemeClr w14:val="tx1"/>
                  </w14:solidFill>
                </w14:textFill>
              </w:rPr>
              <w:t>故障处理</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20</w:t>
            </w:r>
          </w:p>
        </w:tc>
        <w:tc>
          <w:tcPr>
            <w:tcW w:w="49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kern w:val="0"/>
                <w:sz w:val="22"/>
                <w:szCs w:val="22"/>
              </w:rPr>
              <w:t>故障解决能力：故障定位不准确，解决方案不可行，无法及时解决疑难或排除设备故障，每次扣2分</w:t>
            </w: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r>
      <w:tr>
        <w:tblPrEx>
          <w:tblCellMar>
            <w:top w:w="0" w:type="dxa"/>
            <w:left w:w="108" w:type="dxa"/>
            <w:bottom w:w="0" w:type="dxa"/>
            <w:right w:w="108" w:type="dxa"/>
          </w:tblCellMar>
        </w:tblPrEx>
        <w:trPr>
          <w:trHeight w:val="1151" w:hRule="atLeast"/>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b/>
                <w:bCs/>
                <w:color w:val="000000" w:themeColor="text1"/>
                <w:sz w:val="22"/>
                <w:szCs w:val="22"/>
                <w14:textFill>
                  <w14:solidFill>
                    <w14:schemeClr w14:val="tx1"/>
                  </w14:solidFill>
                </w14:textFill>
              </w:rPr>
            </w:pPr>
          </w:p>
        </w:tc>
        <w:tc>
          <w:tcPr>
            <w:tcW w:w="8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b/>
                <w:bCs/>
                <w:color w:val="000000" w:themeColor="text1"/>
                <w:sz w:val="22"/>
                <w:szCs w:val="22"/>
                <w14:textFill>
                  <w14:solidFill>
                    <w14:schemeClr w14:val="tx1"/>
                  </w14:solidFill>
                </w14:textFill>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c>
          <w:tcPr>
            <w:tcW w:w="49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应急处理：重大故障和严重故障到达现场超时的</w:t>
            </w:r>
            <w:r>
              <w:rPr>
                <w:rFonts w:hint="eastAsia" w:ascii="宋体" w:hAnsi="宋体" w:eastAsia="宋体" w:cs="宋体"/>
                <w:color w:val="000000"/>
                <w:kern w:val="0"/>
                <w:sz w:val="22"/>
                <w:szCs w:val="22"/>
                <w:lang w:eastAsia="zh-CN"/>
              </w:rPr>
              <w:t>每次</w:t>
            </w:r>
            <w:r>
              <w:rPr>
                <w:rFonts w:hint="eastAsia" w:ascii="宋体" w:hAnsi="宋体" w:eastAsia="宋体" w:cs="宋体"/>
                <w:color w:val="000000"/>
                <w:kern w:val="0"/>
                <w:sz w:val="22"/>
                <w:szCs w:val="22"/>
              </w:rPr>
              <w:t>扣10分,</w:t>
            </w:r>
            <w:r>
              <w:rPr>
                <w:rFonts w:hint="eastAsia" w:ascii="宋体" w:hAnsi="宋体" w:eastAsia="宋体" w:cs="宋体"/>
                <w:color w:val="000000"/>
                <w:kern w:val="0"/>
                <w:sz w:val="22"/>
                <w:szCs w:val="22"/>
                <w:lang w:eastAsia="zh-CN"/>
              </w:rPr>
              <w:t>并扣罚</w:t>
            </w:r>
            <w:r>
              <w:rPr>
                <w:rFonts w:hint="eastAsia" w:ascii="宋体" w:hAnsi="宋体" w:eastAsia="宋体" w:cs="宋体"/>
                <w:color w:val="000000"/>
                <w:kern w:val="0"/>
                <w:sz w:val="22"/>
                <w:szCs w:val="22"/>
                <w:lang w:val="en-US" w:eastAsia="zh-CN"/>
              </w:rPr>
              <w:t>500-1000元；</w:t>
            </w:r>
            <w:r>
              <w:rPr>
                <w:rFonts w:hint="eastAsia" w:ascii="宋体" w:hAnsi="宋体" w:eastAsia="宋体" w:cs="宋体"/>
                <w:color w:val="000000"/>
                <w:kern w:val="0"/>
                <w:sz w:val="22"/>
                <w:szCs w:val="22"/>
              </w:rPr>
              <w:t>一般故障到达现场超时的</w:t>
            </w:r>
            <w:r>
              <w:rPr>
                <w:rFonts w:hint="eastAsia" w:ascii="宋体" w:hAnsi="宋体" w:eastAsia="宋体" w:cs="宋体"/>
                <w:color w:val="000000"/>
                <w:kern w:val="0"/>
                <w:sz w:val="22"/>
                <w:szCs w:val="22"/>
                <w:lang w:eastAsia="zh-CN"/>
              </w:rPr>
              <w:t>每次</w:t>
            </w:r>
            <w:r>
              <w:rPr>
                <w:rFonts w:hint="eastAsia" w:ascii="宋体" w:hAnsi="宋体" w:eastAsia="宋体" w:cs="宋体"/>
                <w:color w:val="000000"/>
                <w:kern w:val="0"/>
                <w:sz w:val="22"/>
                <w:szCs w:val="22"/>
              </w:rPr>
              <w:t>扣2分</w:t>
            </w: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r>
      <w:tr>
        <w:tblPrEx>
          <w:tblCellMar>
            <w:top w:w="0" w:type="dxa"/>
            <w:left w:w="108" w:type="dxa"/>
            <w:bottom w:w="0" w:type="dxa"/>
            <w:right w:w="108" w:type="dxa"/>
          </w:tblCellMar>
        </w:tblPrEx>
        <w:trPr>
          <w:trHeight w:val="895" w:hRule="atLeast"/>
        </w:trPr>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themeColor="text1"/>
                <w:sz w:val="22"/>
                <w:szCs w:val="22"/>
                <w14:textFill>
                  <w14:solidFill>
                    <w14:schemeClr w14:val="tx1"/>
                  </w14:solidFill>
                </w14:textFill>
              </w:rPr>
            </w:pPr>
            <w:r>
              <w:rPr>
                <w:rFonts w:hint="eastAsia" w:ascii="宋体" w:hAnsi="宋体" w:eastAsia="宋体" w:cs="宋体"/>
                <w:b/>
                <w:bCs/>
                <w:color w:val="000000" w:themeColor="text1"/>
                <w:kern w:val="0"/>
                <w:sz w:val="22"/>
                <w:szCs w:val="22"/>
                <w14:textFill>
                  <w14:solidFill>
                    <w14:schemeClr w14:val="tx1"/>
                  </w14:solidFill>
                </w14:textFill>
              </w:rPr>
              <w:t>2</w:t>
            </w:r>
          </w:p>
        </w:tc>
        <w:tc>
          <w:tcPr>
            <w:tcW w:w="8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themeColor="text1"/>
                <w:sz w:val="22"/>
                <w:szCs w:val="22"/>
                <w14:textFill>
                  <w14:solidFill>
                    <w14:schemeClr w14:val="tx1"/>
                  </w14:solidFill>
                </w14:textFill>
              </w:rPr>
            </w:pPr>
            <w:r>
              <w:rPr>
                <w:rFonts w:hint="eastAsia" w:ascii="宋体" w:hAnsi="宋体" w:eastAsia="宋体" w:cs="宋体"/>
                <w:b/>
                <w:bCs/>
                <w:color w:val="000000" w:themeColor="text1"/>
                <w:kern w:val="0"/>
                <w:sz w:val="22"/>
                <w:szCs w:val="22"/>
                <w14:textFill>
                  <w14:solidFill>
                    <w14:schemeClr w14:val="tx1"/>
                  </w14:solidFill>
                </w14:textFill>
              </w:rPr>
              <w:t>服务要求</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1</w:t>
            </w:r>
            <w:r>
              <w:rPr>
                <w:rFonts w:hint="eastAsia" w:ascii="宋体" w:hAnsi="宋体" w:eastAsia="宋体" w:cs="宋体"/>
                <w:color w:val="000000" w:themeColor="text1"/>
                <w:kern w:val="0"/>
                <w:sz w:val="22"/>
                <w:szCs w:val="22"/>
                <w14:textFill>
                  <w14:solidFill>
                    <w14:schemeClr w14:val="tx1"/>
                  </w14:solidFill>
                </w14:textFill>
              </w:rPr>
              <w:t>0</w:t>
            </w:r>
          </w:p>
        </w:tc>
        <w:tc>
          <w:tcPr>
            <w:tcW w:w="49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eastAsia="zh-CN"/>
              </w:rPr>
              <w:t>维保商</w:t>
            </w:r>
            <w:r>
              <w:rPr>
                <w:rFonts w:hint="eastAsia" w:ascii="宋体" w:hAnsi="宋体" w:eastAsia="宋体" w:cs="宋体"/>
                <w:color w:val="000000"/>
                <w:kern w:val="0"/>
                <w:sz w:val="22"/>
                <w:szCs w:val="22"/>
              </w:rPr>
              <w:t>应提供7*24小时售后技术支持，未及时响应</w:t>
            </w:r>
            <w:r>
              <w:rPr>
                <w:rFonts w:hint="eastAsia" w:ascii="宋体" w:hAnsi="宋体" w:eastAsia="宋体" w:cs="宋体"/>
                <w:color w:val="000000"/>
                <w:kern w:val="0"/>
                <w:sz w:val="22"/>
                <w:szCs w:val="22"/>
                <w:lang w:eastAsia="zh-CN"/>
              </w:rPr>
              <w:t>我院方</w:t>
            </w:r>
            <w:r>
              <w:rPr>
                <w:rFonts w:hint="eastAsia" w:ascii="宋体" w:hAnsi="宋体" w:eastAsia="宋体" w:cs="宋体"/>
                <w:color w:val="000000"/>
                <w:kern w:val="0"/>
                <w:sz w:val="22"/>
                <w:szCs w:val="22"/>
              </w:rPr>
              <w:t>的服务请求的，每次扣2分</w:t>
            </w: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r>
      <w:tr>
        <w:tblPrEx>
          <w:tblCellMar>
            <w:top w:w="0" w:type="dxa"/>
            <w:left w:w="108" w:type="dxa"/>
            <w:bottom w:w="0" w:type="dxa"/>
            <w:right w:w="108" w:type="dxa"/>
          </w:tblCellMar>
        </w:tblPrEx>
        <w:trPr>
          <w:trHeight w:val="800" w:hRule="atLeast"/>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b/>
                <w:bCs/>
                <w:color w:val="000000" w:themeColor="text1"/>
                <w:sz w:val="22"/>
                <w:szCs w:val="22"/>
                <w14:textFill>
                  <w14:solidFill>
                    <w14:schemeClr w14:val="tx1"/>
                  </w14:solidFill>
                </w14:textFill>
              </w:rPr>
            </w:pPr>
          </w:p>
        </w:tc>
        <w:tc>
          <w:tcPr>
            <w:tcW w:w="8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b/>
                <w:bCs/>
                <w:color w:val="000000" w:themeColor="text1"/>
                <w:sz w:val="22"/>
                <w:szCs w:val="22"/>
                <w14:textFill>
                  <w14:solidFill>
                    <w14:schemeClr w14:val="tx1"/>
                  </w14:solidFill>
                </w14:textFill>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themeColor="text1"/>
                <w:sz w:val="22"/>
                <w:szCs w:val="22"/>
                <w14:textFill>
                  <w14:solidFill>
                    <w14:schemeClr w14:val="tx1"/>
                  </w14:solidFill>
                </w14:textFill>
              </w:rPr>
            </w:pPr>
          </w:p>
        </w:tc>
        <w:tc>
          <w:tcPr>
            <w:tcW w:w="49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rPr>
              <w:t>未按合同内容进行维保的，每缺一项内容扣5分</w:t>
            </w: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r>
      <w:tr>
        <w:tblPrEx>
          <w:tblCellMar>
            <w:top w:w="0" w:type="dxa"/>
            <w:left w:w="108" w:type="dxa"/>
            <w:bottom w:w="0" w:type="dxa"/>
            <w:right w:w="108" w:type="dxa"/>
          </w:tblCellMar>
        </w:tblPrEx>
        <w:trPr>
          <w:trHeight w:val="1015" w:hRule="atLeast"/>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b/>
                <w:bCs/>
                <w:color w:val="000000" w:themeColor="text1"/>
                <w:sz w:val="22"/>
                <w:szCs w:val="22"/>
                <w14:textFill>
                  <w14:solidFill>
                    <w14:schemeClr w14:val="tx1"/>
                  </w14:solidFill>
                </w14:textFill>
              </w:rPr>
            </w:pPr>
          </w:p>
        </w:tc>
        <w:tc>
          <w:tcPr>
            <w:tcW w:w="8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b/>
                <w:bCs/>
                <w:color w:val="000000" w:themeColor="text1"/>
                <w:sz w:val="22"/>
                <w:szCs w:val="22"/>
                <w14:textFill>
                  <w14:solidFill>
                    <w14:schemeClr w14:val="tx1"/>
                  </w14:solidFill>
                </w14:textFill>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themeColor="text1"/>
                <w:sz w:val="22"/>
                <w:szCs w:val="22"/>
                <w14:textFill>
                  <w14:solidFill>
                    <w14:schemeClr w14:val="tx1"/>
                  </w14:solidFill>
                </w14:textFill>
              </w:rPr>
            </w:pPr>
          </w:p>
        </w:tc>
        <w:tc>
          <w:tcPr>
            <w:tcW w:w="4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eastAsia="zh-CN"/>
              </w:rPr>
              <w:t>维保商</w:t>
            </w:r>
            <w:r>
              <w:rPr>
                <w:rFonts w:hint="eastAsia" w:ascii="宋体" w:hAnsi="宋体" w:eastAsia="宋体" w:cs="宋体"/>
                <w:color w:val="000000"/>
                <w:kern w:val="0"/>
                <w:sz w:val="22"/>
                <w:szCs w:val="22"/>
              </w:rPr>
              <w:t>对</w:t>
            </w:r>
            <w:r>
              <w:rPr>
                <w:rFonts w:hint="eastAsia" w:ascii="宋体" w:hAnsi="宋体" w:eastAsia="宋体" w:cs="宋体"/>
                <w:color w:val="000000"/>
                <w:kern w:val="0"/>
                <w:sz w:val="22"/>
                <w:szCs w:val="22"/>
                <w:lang w:eastAsia="zh-CN"/>
              </w:rPr>
              <w:t>我院方</w:t>
            </w:r>
            <w:r>
              <w:rPr>
                <w:rFonts w:hint="eastAsia" w:ascii="宋体" w:hAnsi="宋体" w:eastAsia="宋体" w:cs="宋体"/>
                <w:color w:val="000000"/>
                <w:kern w:val="0"/>
                <w:sz w:val="22"/>
                <w:szCs w:val="22"/>
              </w:rPr>
              <w:t>临时安排的维修或服务咨询配合是否及时、周到，不合格每次扣5分</w:t>
            </w: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r>
      <w:tr>
        <w:tblPrEx>
          <w:tblCellMar>
            <w:top w:w="0" w:type="dxa"/>
            <w:left w:w="108" w:type="dxa"/>
            <w:bottom w:w="0" w:type="dxa"/>
            <w:right w:w="108" w:type="dxa"/>
          </w:tblCellMar>
        </w:tblPrEx>
        <w:trPr>
          <w:trHeight w:val="955" w:hRule="atLeast"/>
        </w:trPr>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themeColor="text1"/>
                <w:sz w:val="22"/>
                <w:szCs w:val="22"/>
                <w14:textFill>
                  <w14:solidFill>
                    <w14:schemeClr w14:val="tx1"/>
                  </w14:solidFill>
                </w14:textFill>
              </w:rPr>
            </w:pPr>
            <w:r>
              <w:rPr>
                <w:rFonts w:hint="eastAsia" w:ascii="宋体" w:hAnsi="宋体" w:eastAsia="宋体" w:cs="宋体"/>
                <w:b/>
                <w:bCs/>
                <w:color w:val="000000" w:themeColor="text1"/>
                <w:kern w:val="0"/>
                <w:sz w:val="22"/>
                <w:szCs w:val="22"/>
                <w14:textFill>
                  <w14:solidFill>
                    <w14:schemeClr w14:val="tx1"/>
                  </w14:solidFill>
                </w14:textFill>
              </w:rPr>
              <w:t>3</w:t>
            </w:r>
          </w:p>
        </w:tc>
        <w:tc>
          <w:tcPr>
            <w:tcW w:w="8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themeColor="text1"/>
                <w:sz w:val="22"/>
                <w:szCs w:val="22"/>
                <w14:textFill>
                  <w14:solidFill>
                    <w14:schemeClr w14:val="tx1"/>
                  </w14:solidFill>
                </w14:textFill>
              </w:rPr>
            </w:pPr>
            <w:r>
              <w:rPr>
                <w:rFonts w:hint="eastAsia" w:ascii="宋体" w:hAnsi="宋体" w:eastAsia="宋体" w:cs="宋体"/>
                <w:b/>
                <w:bCs/>
                <w:color w:val="000000" w:themeColor="text1"/>
                <w:kern w:val="0"/>
                <w:sz w:val="22"/>
                <w:szCs w:val="22"/>
                <w:lang w:eastAsia="zh-CN"/>
                <w14:textFill>
                  <w14:solidFill>
                    <w14:schemeClr w14:val="tx1"/>
                  </w14:solidFill>
                </w14:textFill>
              </w:rPr>
              <w:t>检查</w:t>
            </w:r>
            <w:r>
              <w:rPr>
                <w:rFonts w:hint="eastAsia" w:ascii="宋体" w:hAnsi="宋体" w:eastAsia="宋体" w:cs="宋体"/>
                <w:b/>
                <w:bCs/>
                <w:color w:val="000000" w:themeColor="text1"/>
                <w:kern w:val="0"/>
                <w:sz w:val="22"/>
                <w:szCs w:val="22"/>
                <w14:textFill>
                  <w14:solidFill>
                    <w14:schemeClr w14:val="tx1"/>
                  </w14:solidFill>
                </w14:textFill>
              </w:rPr>
              <w:t>服务</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1</w:t>
            </w:r>
            <w:r>
              <w:rPr>
                <w:rFonts w:hint="eastAsia" w:ascii="宋体" w:hAnsi="宋体" w:eastAsia="宋体" w:cs="宋体"/>
                <w:color w:val="000000" w:themeColor="text1"/>
                <w:kern w:val="0"/>
                <w:sz w:val="22"/>
                <w:szCs w:val="22"/>
                <w14:textFill>
                  <w14:solidFill>
                    <w14:schemeClr w14:val="tx1"/>
                  </w14:solidFill>
                </w14:textFill>
              </w:rPr>
              <w:t>0</w:t>
            </w:r>
          </w:p>
        </w:tc>
        <w:tc>
          <w:tcPr>
            <w:tcW w:w="49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eastAsia="zh-CN"/>
              </w:rPr>
              <w:t>监控门禁道闸等</w:t>
            </w:r>
            <w:r>
              <w:rPr>
                <w:rFonts w:hint="eastAsia" w:ascii="宋体" w:hAnsi="宋体" w:eastAsia="宋体" w:cs="宋体"/>
                <w:color w:val="000000"/>
                <w:kern w:val="0"/>
                <w:sz w:val="22"/>
                <w:szCs w:val="22"/>
              </w:rPr>
              <w:t>设备及系统</w:t>
            </w:r>
            <w:r>
              <w:rPr>
                <w:rFonts w:hint="eastAsia" w:ascii="宋体" w:hAnsi="宋体" w:eastAsia="宋体" w:cs="宋体"/>
                <w:color w:val="000000"/>
                <w:kern w:val="0"/>
                <w:sz w:val="22"/>
                <w:szCs w:val="22"/>
                <w:lang w:eastAsia="zh-CN"/>
              </w:rPr>
              <w:t>检查</w:t>
            </w:r>
            <w:r>
              <w:rPr>
                <w:rFonts w:hint="eastAsia" w:ascii="宋体" w:hAnsi="宋体" w:eastAsia="宋体" w:cs="宋体"/>
                <w:color w:val="000000"/>
                <w:kern w:val="0"/>
                <w:sz w:val="22"/>
                <w:szCs w:val="22"/>
              </w:rPr>
              <w:t>次数：在维保期内每</w:t>
            </w:r>
            <w:r>
              <w:rPr>
                <w:rFonts w:hint="eastAsia" w:ascii="宋体" w:hAnsi="宋体" w:eastAsia="宋体" w:cs="宋体"/>
                <w:color w:val="000000"/>
                <w:kern w:val="0"/>
                <w:sz w:val="22"/>
                <w:szCs w:val="22"/>
                <w:lang w:eastAsia="zh-CN"/>
              </w:rPr>
              <w:t>月</w:t>
            </w:r>
            <w:r>
              <w:rPr>
                <w:rFonts w:hint="eastAsia" w:ascii="宋体" w:hAnsi="宋体" w:eastAsia="宋体" w:cs="宋体"/>
                <w:color w:val="000000"/>
                <w:kern w:val="0"/>
                <w:sz w:val="22"/>
                <w:szCs w:val="22"/>
              </w:rPr>
              <w:t>提供1次现场常规</w:t>
            </w:r>
            <w:r>
              <w:rPr>
                <w:rFonts w:hint="eastAsia" w:ascii="宋体" w:hAnsi="宋体" w:eastAsia="宋体" w:cs="宋体"/>
                <w:color w:val="000000"/>
                <w:kern w:val="0"/>
                <w:sz w:val="22"/>
                <w:szCs w:val="22"/>
                <w:lang w:eastAsia="zh-CN"/>
              </w:rPr>
              <w:t>检查</w:t>
            </w:r>
            <w:r>
              <w:rPr>
                <w:rFonts w:hint="eastAsia" w:ascii="宋体" w:hAnsi="宋体" w:eastAsia="宋体" w:cs="宋体"/>
                <w:color w:val="000000"/>
                <w:kern w:val="0"/>
                <w:sz w:val="22"/>
                <w:szCs w:val="22"/>
              </w:rPr>
              <w:t>，未按时</w:t>
            </w:r>
            <w:r>
              <w:rPr>
                <w:rFonts w:hint="eastAsia" w:ascii="宋体" w:hAnsi="宋体" w:eastAsia="宋体" w:cs="宋体"/>
                <w:color w:val="000000"/>
                <w:kern w:val="0"/>
                <w:sz w:val="22"/>
                <w:szCs w:val="22"/>
                <w:lang w:eastAsia="zh-CN"/>
              </w:rPr>
              <w:t>检查</w:t>
            </w:r>
            <w:r>
              <w:rPr>
                <w:rFonts w:hint="eastAsia" w:ascii="宋体" w:hAnsi="宋体" w:eastAsia="宋体" w:cs="宋体"/>
                <w:color w:val="000000"/>
                <w:kern w:val="0"/>
                <w:sz w:val="22"/>
                <w:szCs w:val="22"/>
              </w:rPr>
              <w:t>扣</w:t>
            </w:r>
            <w:r>
              <w:rPr>
                <w:rFonts w:hint="eastAsia" w:ascii="宋体" w:hAnsi="宋体" w:eastAsia="宋体" w:cs="宋体"/>
                <w:color w:val="000000" w:themeColor="text1"/>
                <w:kern w:val="0"/>
                <w:sz w:val="22"/>
                <w:szCs w:val="22"/>
                <w:lang w:val="en-US" w:eastAsia="zh-CN"/>
                <w14:textFill>
                  <w14:solidFill>
                    <w14:schemeClr w14:val="tx1"/>
                  </w14:solidFill>
                </w14:textFill>
              </w:rPr>
              <w:t>2</w:t>
            </w:r>
            <w:r>
              <w:rPr>
                <w:rFonts w:hint="eastAsia" w:ascii="宋体" w:hAnsi="宋体" w:eastAsia="宋体" w:cs="宋体"/>
                <w:color w:val="000000"/>
                <w:kern w:val="0"/>
                <w:sz w:val="22"/>
                <w:szCs w:val="22"/>
              </w:rPr>
              <w:t>分</w:t>
            </w: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r>
      <w:tr>
        <w:tblPrEx>
          <w:tblCellMar>
            <w:top w:w="0" w:type="dxa"/>
            <w:left w:w="108" w:type="dxa"/>
            <w:bottom w:w="0" w:type="dxa"/>
            <w:right w:w="108" w:type="dxa"/>
          </w:tblCellMar>
        </w:tblPrEx>
        <w:trPr>
          <w:trHeight w:val="955" w:hRule="atLeast"/>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b/>
                <w:bCs/>
                <w:color w:val="000000" w:themeColor="text1"/>
                <w:sz w:val="22"/>
                <w:szCs w:val="22"/>
                <w14:textFill>
                  <w14:solidFill>
                    <w14:schemeClr w14:val="tx1"/>
                  </w14:solidFill>
                </w14:textFill>
              </w:rPr>
            </w:pPr>
          </w:p>
        </w:tc>
        <w:tc>
          <w:tcPr>
            <w:tcW w:w="8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b/>
                <w:bCs/>
                <w:color w:val="000000" w:themeColor="text1"/>
                <w:sz w:val="22"/>
                <w:szCs w:val="22"/>
                <w14:textFill>
                  <w14:solidFill>
                    <w14:schemeClr w14:val="tx1"/>
                  </w14:solidFill>
                </w14:textFill>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c>
          <w:tcPr>
            <w:tcW w:w="49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eastAsia="zh-CN"/>
              </w:rPr>
              <w:t>检查</w:t>
            </w:r>
            <w:r>
              <w:rPr>
                <w:rFonts w:hint="eastAsia" w:ascii="宋体" w:hAnsi="宋体" w:eastAsia="宋体" w:cs="宋体"/>
                <w:color w:val="000000"/>
                <w:kern w:val="0"/>
                <w:sz w:val="22"/>
                <w:szCs w:val="22"/>
              </w:rPr>
              <w:t>服务不遵守设备厂家</w:t>
            </w:r>
            <w:r>
              <w:rPr>
                <w:rFonts w:hint="eastAsia" w:ascii="宋体" w:hAnsi="宋体" w:eastAsia="宋体" w:cs="宋体"/>
                <w:color w:val="000000"/>
                <w:kern w:val="0"/>
                <w:sz w:val="22"/>
                <w:szCs w:val="22"/>
                <w:lang w:eastAsia="zh-CN"/>
              </w:rPr>
              <w:t>检查</w:t>
            </w:r>
            <w:r>
              <w:rPr>
                <w:rFonts w:hint="eastAsia" w:ascii="宋体" w:hAnsi="宋体" w:eastAsia="宋体" w:cs="宋体"/>
                <w:color w:val="000000"/>
                <w:kern w:val="0"/>
                <w:sz w:val="22"/>
                <w:szCs w:val="22"/>
              </w:rPr>
              <w:t>管理规范、</w:t>
            </w:r>
            <w:r>
              <w:rPr>
                <w:rFonts w:hint="eastAsia" w:ascii="宋体" w:hAnsi="宋体" w:eastAsia="宋体" w:cs="宋体"/>
                <w:color w:val="000000"/>
                <w:kern w:val="0"/>
                <w:sz w:val="22"/>
                <w:szCs w:val="22"/>
                <w:lang w:eastAsia="zh-CN"/>
              </w:rPr>
              <w:t>检查</w:t>
            </w:r>
            <w:r>
              <w:rPr>
                <w:rFonts w:hint="eastAsia" w:ascii="宋体" w:hAnsi="宋体" w:eastAsia="宋体" w:cs="宋体"/>
                <w:color w:val="000000"/>
                <w:kern w:val="0"/>
                <w:sz w:val="22"/>
                <w:szCs w:val="22"/>
              </w:rPr>
              <w:t>管理流程，扣</w:t>
            </w:r>
            <w:r>
              <w:rPr>
                <w:rFonts w:hint="eastAsia" w:ascii="宋体" w:hAnsi="宋体" w:eastAsia="宋体" w:cs="宋体"/>
                <w:color w:val="000000"/>
                <w:kern w:val="0"/>
                <w:sz w:val="22"/>
                <w:szCs w:val="22"/>
                <w:lang w:val="en-US" w:eastAsia="zh-CN"/>
              </w:rPr>
              <w:t>4</w:t>
            </w:r>
            <w:r>
              <w:rPr>
                <w:rFonts w:hint="eastAsia" w:ascii="宋体" w:hAnsi="宋体" w:eastAsia="宋体" w:cs="宋体"/>
                <w:color w:val="000000"/>
                <w:kern w:val="0"/>
                <w:sz w:val="22"/>
                <w:szCs w:val="22"/>
              </w:rPr>
              <w:t>分</w:t>
            </w: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r>
      <w:tr>
        <w:tblPrEx>
          <w:tblCellMar>
            <w:top w:w="0" w:type="dxa"/>
            <w:left w:w="108" w:type="dxa"/>
            <w:bottom w:w="0" w:type="dxa"/>
            <w:right w:w="108" w:type="dxa"/>
          </w:tblCellMar>
        </w:tblPrEx>
        <w:trPr>
          <w:trHeight w:val="1166" w:hRule="atLeast"/>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b/>
                <w:bCs/>
                <w:color w:val="000000" w:themeColor="text1"/>
                <w:sz w:val="22"/>
                <w:szCs w:val="22"/>
                <w14:textFill>
                  <w14:solidFill>
                    <w14:schemeClr w14:val="tx1"/>
                  </w14:solidFill>
                </w14:textFill>
              </w:rPr>
            </w:pPr>
          </w:p>
        </w:tc>
        <w:tc>
          <w:tcPr>
            <w:tcW w:w="8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b/>
                <w:bCs/>
                <w:color w:val="000000" w:themeColor="text1"/>
                <w:sz w:val="22"/>
                <w:szCs w:val="22"/>
                <w14:textFill>
                  <w14:solidFill>
                    <w14:schemeClr w14:val="tx1"/>
                  </w14:solidFill>
                </w14:textFill>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c>
          <w:tcPr>
            <w:tcW w:w="4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rPr>
              <w:t>运维文档提交时效性：</w:t>
            </w:r>
            <w:r>
              <w:rPr>
                <w:rFonts w:hint="eastAsia" w:ascii="宋体" w:hAnsi="宋体" w:eastAsia="宋体" w:cs="宋体"/>
                <w:color w:val="000000"/>
                <w:kern w:val="0"/>
                <w:sz w:val="22"/>
                <w:szCs w:val="22"/>
                <w:lang w:eastAsia="zh-CN"/>
              </w:rPr>
              <w:t>检查</w:t>
            </w:r>
            <w:r>
              <w:rPr>
                <w:rFonts w:hint="eastAsia" w:ascii="宋体" w:hAnsi="宋体" w:eastAsia="宋体" w:cs="宋体"/>
                <w:color w:val="000000"/>
                <w:kern w:val="0"/>
                <w:sz w:val="22"/>
                <w:szCs w:val="22"/>
              </w:rPr>
              <w:t>结束后， 运维文档、报告未能在7日内完成提交，或者弄虚作假，与实际情况不相符，不完整的，扣</w:t>
            </w:r>
            <w:r>
              <w:rPr>
                <w:rFonts w:hint="eastAsia" w:ascii="宋体" w:hAnsi="宋体" w:eastAsia="宋体" w:cs="宋体"/>
                <w:color w:val="000000"/>
                <w:kern w:val="0"/>
                <w:sz w:val="22"/>
                <w:szCs w:val="22"/>
                <w:lang w:val="en-US" w:eastAsia="zh-CN"/>
              </w:rPr>
              <w:t>4</w:t>
            </w:r>
            <w:r>
              <w:rPr>
                <w:rFonts w:hint="eastAsia" w:ascii="宋体" w:hAnsi="宋体" w:eastAsia="宋体" w:cs="宋体"/>
                <w:color w:val="000000"/>
                <w:kern w:val="0"/>
                <w:sz w:val="22"/>
                <w:szCs w:val="22"/>
              </w:rPr>
              <w:t>分</w:t>
            </w: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r>
      <w:tr>
        <w:tblPrEx>
          <w:tblCellMar>
            <w:top w:w="0" w:type="dxa"/>
            <w:left w:w="108" w:type="dxa"/>
            <w:bottom w:w="0" w:type="dxa"/>
            <w:right w:w="108" w:type="dxa"/>
          </w:tblCellMar>
        </w:tblPrEx>
        <w:trPr>
          <w:trHeight w:val="1181" w:hRule="atLeast"/>
        </w:trPr>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themeColor="text1"/>
                <w:sz w:val="22"/>
                <w:szCs w:val="22"/>
                <w14:textFill>
                  <w14:solidFill>
                    <w14:schemeClr w14:val="tx1"/>
                  </w14:solidFill>
                </w14:textFill>
              </w:rPr>
            </w:pPr>
            <w:r>
              <w:rPr>
                <w:rFonts w:hint="eastAsia" w:ascii="宋体" w:hAnsi="宋体" w:eastAsia="宋体" w:cs="宋体"/>
                <w:b/>
                <w:bCs/>
                <w:color w:val="000000" w:themeColor="text1"/>
                <w:kern w:val="0"/>
                <w:sz w:val="22"/>
                <w:szCs w:val="22"/>
                <w14:textFill>
                  <w14:solidFill>
                    <w14:schemeClr w14:val="tx1"/>
                  </w14:solidFill>
                </w14:textFill>
              </w:rPr>
              <w:t>4</w:t>
            </w:r>
          </w:p>
        </w:tc>
        <w:tc>
          <w:tcPr>
            <w:tcW w:w="8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themeColor="text1"/>
                <w:sz w:val="22"/>
                <w:szCs w:val="22"/>
                <w14:textFill>
                  <w14:solidFill>
                    <w14:schemeClr w14:val="tx1"/>
                  </w14:solidFill>
                </w14:textFill>
              </w:rPr>
            </w:pPr>
            <w:r>
              <w:rPr>
                <w:rFonts w:hint="eastAsia" w:ascii="宋体" w:hAnsi="宋体" w:eastAsia="宋体" w:cs="宋体"/>
                <w:b/>
                <w:bCs/>
                <w:color w:val="000000" w:themeColor="text1"/>
                <w:kern w:val="0"/>
                <w:sz w:val="22"/>
                <w:szCs w:val="22"/>
                <w14:textFill>
                  <w14:solidFill>
                    <w14:schemeClr w14:val="tx1"/>
                  </w14:solidFill>
                </w14:textFill>
              </w:rPr>
              <w:t>备品备件</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10</w:t>
            </w:r>
          </w:p>
        </w:tc>
        <w:tc>
          <w:tcPr>
            <w:tcW w:w="4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eastAsia="zh-CN"/>
              </w:rPr>
              <w:t>维保商</w:t>
            </w:r>
            <w:r>
              <w:rPr>
                <w:rFonts w:hint="eastAsia" w:ascii="宋体" w:hAnsi="宋体" w:eastAsia="宋体" w:cs="宋体"/>
                <w:color w:val="000000"/>
                <w:kern w:val="0"/>
                <w:sz w:val="22"/>
                <w:szCs w:val="22"/>
              </w:rPr>
              <w:t>应确保维保设备的关键备件的充足性和及时供应，设备发生故障，未能按照备件交付时间提供严重影响系统运行，每次扣2分</w:t>
            </w: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r>
      <w:tr>
        <w:tblPrEx>
          <w:tblCellMar>
            <w:top w:w="0" w:type="dxa"/>
            <w:left w:w="108" w:type="dxa"/>
            <w:bottom w:w="0" w:type="dxa"/>
            <w:right w:w="108" w:type="dxa"/>
          </w:tblCellMar>
        </w:tblPrEx>
        <w:trPr>
          <w:trHeight w:val="1015" w:hRule="atLeast"/>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b/>
                <w:bCs/>
                <w:color w:val="000000" w:themeColor="text1"/>
                <w:sz w:val="22"/>
                <w:szCs w:val="22"/>
                <w14:textFill>
                  <w14:solidFill>
                    <w14:schemeClr w14:val="tx1"/>
                  </w14:solidFill>
                </w14:textFill>
              </w:rPr>
            </w:pPr>
          </w:p>
        </w:tc>
        <w:tc>
          <w:tcPr>
            <w:tcW w:w="8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b/>
                <w:bCs/>
                <w:color w:val="000000" w:themeColor="text1"/>
                <w:sz w:val="22"/>
                <w:szCs w:val="22"/>
                <w14:textFill>
                  <w14:solidFill>
                    <w14:schemeClr w14:val="tx1"/>
                  </w14:solidFill>
                </w14:textFill>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c>
          <w:tcPr>
            <w:tcW w:w="4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eastAsia="zh-CN"/>
              </w:rPr>
              <w:t>维保商</w:t>
            </w:r>
            <w:r>
              <w:rPr>
                <w:rFonts w:hint="eastAsia" w:ascii="宋体" w:hAnsi="宋体" w:eastAsia="宋体" w:cs="宋体"/>
                <w:color w:val="000000"/>
                <w:kern w:val="0"/>
                <w:sz w:val="22"/>
                <w:szCs w:val="22"/>
              </w:rPr>
              <w:t>提供的备品备件（主要设备），非设备厂家原厂的设备，每次扣5分</w:t>
            </w: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r>
      <w:tr>
        <w:tblPrEx>
          <w:tblCellMar>
            <w:top w:w="0" w:type="dxa"/>
            <w:left w:w="108" w:type="dxa"/>
            <w:bottom w:w="0" w:type="dxa"/>
            <w:right w:w="108" w:type="dxa"/>
          </w:tblCellMar>
        </w:tblPrEx>
        <w:trPr>
          <w:trHeight w:val="1508"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themeColor="text1"/>
                <w:sz w:val="22"/>
                <w:szCs w:val="22"/>
                <w14:textFill>
                  <w14:solidFill>
                    <w14:schemeClr w14:val="tx1"/>
                  </w14:solidFill>
                </w14:textFill>
              </w:rPr>
            </w:pPr>
            <w:r>
              <w:rPr>
                <w:rFonts w:hint="eastAsia" w:ascii="宋体" w:hAnsi="宋体" w:eastAsia="宋体" w:cs="宋体"/>
                <w:b/>
                <w:bCs/>
                <w:color w:val="000000" w:themeColor="text1"/>
                <w:kern w:val="0"/>
                <w:sz w:val="22"/>
                <w:szCs w:val="22"/>
                <w14:textFill>
                  <w14:solidFill>
                    <w14:schemeClr w14:val="tx1"/>
                  </w14:solidFill>
                </w14:textFill>
              </w:rPr>
              <w:t>5</w:t>
            </w:r>
          </w:p>
        </w:tc>
        <w:tc>
          <w:tcPr>
            <w:tcW w:w="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themeColor="text1"/>
                <w:sz w:val="22"/>
                <w:szCs w:val="22"/>
                <w14:textFill>
                  <w14:solidFill>
                    <w14:schemeClr w14:val="tx1"/>
                  </w14:solidFill>
                </w14:textFill>
              </w:rPr>
            </w:pPr>
            <w:r>
              <w:rPr>
                <w:rFonts w:hint="eastAsia" w:ascii="宋体" w:hAnsi="宋体" w:eastAsia="宋体" w:cs="宋体"/>
                <w:b/>
                <w:bCs/>
                <w:color w:val="000000" w:themeColor="text1"/>
                <w:kern w:val="0"/>
                <w:sz w:val="22"/>
                <w:szCs w:val="22"/>
                <w14:textFill>
                  <w14:solidFill>
                    <w14:schemeClr w14:val="tx1"/>
                  </w14:solidFill>
                </w14:textFill>
              </w:rPr>
              <w:t>现场培训</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10</w:t>
            </w:r>
          </w:p>
        </w:tc>
        <w:tc>
          <w:tcPr>
            <w:tcW w:w="4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eastAsia="zh-CN"/>
              </w:rPr>
              <w:t>维保商</w:t>
            </w:r>
            <w:r>
              <w:rPr>
                <w:rFonts w:hint="eastAsia" w:ascii="宋体" w:hAnsi="宋体" w:eastAsia="宋体" w:cs="宋体"/>
                <w:color w:val="000000"/>
                <w:kern w:val="0"/>
                <w:sz w:val="22"/>
                <w:szCs w:val="22"/>
              </w:rPr>
              <w:t>在完成现场故障修复后,应提供故障处理报告，应针对本次故障出现的原因和故障排除方法对</w:t>
            </w:r>
            <w:r>
              <w:rPr>
                <w:rFonts w:hint="eastAsia" w:ascii="宋体" w:hAnsi="宋体" w:eastAsia="宋体" w:cs="宋体"/>
                <w:color w:val="000000"/>
                <w:kern w:val="0"/>
                <w:sz w:val="22"/>
                <w:szCs w:val="22"/>
                <w:lang w:eastAsia="zh-CN"/>
              </w:rPr>
              <w:t>我院方</w:t>
            </w:r>
            <w:r>
              <w:rPr>
                <w:rFonts w:hint="eastAsia" w:ascii="宋体" w:hAnsi="宋体" w:eastAsia="宋体" w:cs="宋体"/>
                <w:color w:val="000000"/>
                <w:kern w:val="0"/>
                <w:sz w:val="22"/>
                <w:szCs w:val="22"/>
              </w:rPr>
              <w:t>的中控人员进行现场培训，未提供报告、未培训每次扣2分</w:t>
            </w: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r>
      <w:tr>
        <w:tblPrEx>
          <w:tblCellMar>
            <w:top w:w="0" w:type="dxa"/>
            <w:left w:w="108" w:type="dxa"/>
            <w:bottom w:w="0" w:type="dxa"/>
            <w:right w:w="108" w:type="dxa"/>
          </w:tblCellMar>
        </w:tblPrEx>
        <w:trPr>
          <w:trHeight w:val="1211"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themeColor="text1"/>
                <w:sz w:val="22"/>
                <w:szCs w:val="22"/>
                <w14:textFill>
                  <w14:solidFill>
                    <w14:schemeClr w14:val="tx1"/>
                  </w14:solidFill>
                </w14:textFill>
              </w:rPr>
            </w:pPr>
            <w:r>
              <w:rPr>
                <w:rFonts w:hint="eastAsia" w:ascii="宋体" w:hAnsi="宋体" w:eastAsia="宋体" w:cs="宋体"/>
                <w:b/>
                <w:bCs/>
                <w:color w:val="000000" w:themeColor="text1"/>
                <w:kern w:val="0"/>
                <w:sz w:val="22"/>
                <w:szCs w:val="22"/>
                <w14:textFill>
                  <w14:solidFill>
                    <w14:schemeClr w14:val="tx1"/>
                  </w14:solidFill>
                </w14:textFill>
              </w:rPr>
              <w:t>6</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themeColor="text1"/>
                <w:sz w:val="22"/>
                <w:szCs w:val="22"/>
                <w14:textFill>
                  <w14:solidFill>
                    <w14:schemeClr w14:val="tx1"/>
                  </w14:solidFill>
                </w14:textFill>
              </w:rPr>
            </w:pPr>
            <w:r>
              <w:rPr>
                <w:rFonts w:hint="eastAsia" w:ascii="宋体" w:hAnsi="宋体" w:eastAsia="宋体" w:cs="宋体"/>
                <w:b/>
                <w:bCs/>
                <w:color w:val="000000" w:themeColor="text1"/>
                <w:kern w:val="0"/>
                <w:sz w:val="22"/>
                <w:szCs w:val="22"/>
                <w14:textFill>
                  <w14:solidFill>
                    <w14:schemeClr w14:val="tx1"/>
                  </w14:solidFill>
                </w14:textFill>
              </w:rPr>
              <w:t>重要工作值守</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10</w:t>
            </w:r>
          </w:p>
        </w:tc>
        <w:tc>
          <w:tcPr>
            <w:tcW w:w="4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rPr>
              <w:t>对</w:t>
            </w:r>
            <w:r>
              <w:rPr>
                <w:rFonts w:hint="eastAsia" w:ascii="宋体" w:hAnsi="宋体" w:eastAsia="宋体" w:cs="宋体"/>
                <w:color w:val="000000"/>
                <w:kern w:val="0"/>
                <w:sz w:val="22"/>
                <w:szCs w:val="22"/>
                <w:lang w:eastAsia="zh-CN"/>
              </w:rPr>
              <w:t>我院方</w:t>
            </w:r>
            <w:r>
              <w:rPr>
                <w:rFonts w:hint="eastAsia" w:ascii="宋体" w:hAnsi="宋体" w:eastAsia="宋体" w:cs="宋体"/>
                <w:color w:val="000000"/>
                <w:kern w:val="0"/>
                <w:sz w:val="22"/>
                <w:szCs w:val="22"/>
              </w:rPr>
              <w:t>在某些重大保障活动中提出的现场值守保障服务，</w:t>
            </w:r>
            <w:r>
              <w:rPr>
                <w:rFonts w:hint="eastAsia" w:ascii="宋体" w:hAnsi="宋体" w:eastAsia="宋体" w:cs="宋体"/>
                <w:color w:val="000000"/>
                <w:kern w:val="0"/>
                <w:sz w:val="22"/>
                <w:szCs w:val="22"/>
                <w:lang w:eastAsia="zh-CN"/>
              </w:rPr>
              <w:t>维保商</w:t>
            </w:r>
            <w:r>
              <w:rPr>
                <w:rFonts w:hint="eastAsia" w:ascii="宋体" w:hAnsi="宋体" w:eastAsia="宋体" w:cs="宋体"/>
                <w:color w:val="000000"/>
                <w:kern w:val="0"/>
                <w:sz w:val="22"/>
                <w:szCs w:val="22"/>
              </w:rPr>
              <w:t>未派员到位服务或者服务过程不合格的，每次扣2分</w:t>
            </w: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r>
      <w:tr>
        <w:tblPrEx>
          <w:tblCellMar>
            <w:top w:w="0" w:type="dxa"/>
            <w:left w:w="108" w:type="dxa"/>
            <w:bottom w:w="0" w:type="dxa"/>
            <w:right w:w="108" w:type="dxa"/>
          </w:tblCellMar>
        </w:tblPrEx>
        <w:trPr>
          <w:trHeight w:val="1166"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b/>
                <w:bCs/>
                <w:color w:val="000000" w:themeColor="text1"/>
                <w:kern w:val="0"/>
                <w:sz w:val="22"/>
                <w:szCs w:val="22"/>
                <w:lang w:val="en-US" w:eastAsia="zh-CN"/>
                <w14:textFill>
                  <w14:solidFill>
                    <w14:schemeClr w14:val="tx1"/>
                  </w14:solidFill>
                </w14:textFill>
              </w:rPr>
            </w:pPr>
            <w:r>
              <w:rPr>
                <w:rFonts w:hint="eastAsia" w:ascii="宋体" w:hAnsi="宋体" w:eastAsia="宋体" w:cs="宋体"/>
                <w:b/>
                <w:bCs/>
                <w:color w:val="000000" w:themeColor="text1"/>
                <w:kern w:val="0"/>
                <w:sz w:val="22"/>
                <w:szCs w:val="22"/>
                <w:lang w:val="en-US" w:eastAsia="zh-CN"/>
                <w14:textFill>
                  <w14:solidFill>
                    <w14:schemeClr w14:val="tx1"/>
                  </w14:solidFill>
                </w14:textFill>
              </w:rPr>
              <w:t>7</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b/>
                <w:bCs/>
                <w:color w:val="000000" w:themeColor="text1"/>
                <w:kern w:val="0"/>
                <w:sz w:val="22"/>
                <w:szCs w:val="22"/>
                <w:lang w:eastAsia="zh-CN"/>
                <w14:textFill>
                  <w14:solidFill>
                    <w14:schemeClr w14:val="tx1"/>
                  </w14:solidFill>
                </w14:textFill>
              </w:rPr>
            </w:pPr>
            <w:r>
              <w:rPr>
                <w:rFonts w:hint="eastAsia" w:ascii="宋体" w:hAnsi="宋体" w:eastAsia="宋体" w:cs="宋体"/>
                <w:b/>
                <w:bCs/>
                <w:color w:val="000000" w:themeColor="text1"/>
                <w:kern w:val="0"/>
                <w:sz w:val="22"/>
                <w:szCs w:val="22"/>
                <w:lang w:eastAsia="zh-CN"/>
                <w14:textFill>
                  <w14:solidFill>
                    <w14:schemeClr w14:val="tx1"/>
                  </w14:solidFill>
                </w14:textFill>
              </w:rPr>
              <w:t>违规操作</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30</w:t>
            </w:r>
          </w:p>
        </w:tc>
        <w:tc>
          <w:tcPr>
            <w:tcW w:w="4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一般违规：扣5～10分/次</w:t>
            </w:r>
          </w:p>
          <w:p>
            <w:pPr>
              <w:widowControl/>
              <w:jc w:val="left"/>
              <w:textAlignment w:val="center"/>
              <w:rPr>
                <w:rFonts w:hint="eastAsia" w:ascii="宋体" w:hAnsi="宋体" w:eastAsia="宋体" w:cs="宋体"/>
                <w:color w:val="000000" w:themeColor="text1"/>
                <w:kern w:val="0"/>
                <w:sz w:val="22"/>
                <w:szCs w:val="22"/>
                <w:lang w:eastAsia="zh-CN"/>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严重违规：扣15～30分/次</w:t>
            </w:r>
          </w:p>
          <w:p>
            <w:pPr>
              <w:widowControl/>
              <w:jc w:val="left"/>
              <w:textAlignment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造成隐患</w:t>
            </w:r>
            <w:r>
              <w:rPr>
                <w:rFonts w:hint="eastAsia" w:ascii="宋体" w:hAnsi="宋体" w:eastAsia="宋体" w:cs="宋体"/>
                <w:color w:val="000000" w:themeColor="text1"/>
                <w:kern w:val="0"/>
                <w:sz w:val="22"/>
                <w:szCs w:val="22"/>
                <w:lang w:eastAsia="zh-CN"/>
                <w14:textFill>
                  <w14:solidFill>
                    <w14:schemeClr w14:val="tx1"/>
                  </w14:solidFill>
                </w14:textFill>
              </w:rPr>
              <w:t>或</w:t>
            </w:r>
            <w:r>
              <w:rPr>
                <w:rFonts w:hint="eastAsia" w:ascii="宋体" w:hAnsi="宋体" w:eastAsia="宋体" w:cs="宋体"/>
                <w:color w:val="000000" w:themeColor="text1"/>
                <w:kern w:val="0"/>
                <w:sz w:val="22"/>
                <w:szCs w:val="22"/>
                <w14:textFill>
                  <w14:solidFill>
                    <w14:schemeClr w14:val="tx1"/>
                  </w14:solidFill>
                </w14:textFill>
              </w:rPr>
              <w:t>事故</w:t>
            </w:r>
            <w:r>
              <w:rPr>
                <w:rFonts w:hint="eastAsia" w:ascii="宋体" w:hAnsi="宋体" w:eastAsia="宋体" w:cs="宋体"/>
                <w:color w:val="000000" w:themeColor="text1"/>
                <w:kern w:val="0"/>
                <w:sz w:val="22"/>
                <w:szCs w:val="22"/>
                <w:lang w:eastAsia="zh-CN"/>
                <w14:textFill>
                  <w14:solidFill>
                    <w14:schemeClr w14:val="tx1"/>
                  </w14:solidFill>
                </w14:textFill>
              </w:rPr>
              <w:t>的</w:t>
            </w:r>
            <w:r>
              <w:rPr>
                <w:rFonts w:hint="eastAsia" w:ascii="宋体" w:hAnsi="宋体" w:eastAsia="宋体" w:cs="宋体"/>
                <w:color w:val="000000" w:themeColor="text1"/>
                <w:kern w:val="0"/>
                <w:sz w:val="22"/>
                <w:szCs w:val="22"/>
                <w14:textFill>
                  <w14:solidFill>
                    <w14:schemeClr w14:val="tx1"/>
                  </w14:solidFill>
                </w14:textFill>
              </w:rPr>
              <w:t>：直接扣至不合格</w:t>
            </w: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r>
      <w:tr>
        <w:tblPrEx>
          <w:tblCellMar>
            <w:top w:w="0" w:type="dxa"/>
            <w:left w:w="108" w:type="dxa"/>
            <w:bottom w:w="0" w:type="dxa"/>
            <w:right w:w="108" w:type="dxa"/>
          </w:tblCellMar>
        </w:tblPrEx>
        <w:trPr>
          <w:trHeight w:val="929"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c>
          <w:tcPr>
            <w:tcW w:w="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合计</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100</w:t>
            </w:r>
          </w:p>
        </w:tc>
        <w:tc>
          <w:tcPr>
            <w:tcW w:w="49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eastAsia="zh-CN"/>
              </w:rPr>
              <w:t>合同当月维保服务费</w:t>
            </w:r>
            <w:r>
              <w:rPr>
                <w:rFonts w:hint="eastAsia" w:ascii="宋体" w:hAnsi="宋体" w:eastAsia="宋体" w:cs="宋体"/>
                <w:color w:val="000000"/>
                <w:sz w:val="22"/>
                <w:szCs w:val="22"/>
                <w:lang w:val="en-US" w:eastAsia="zh-CN"/>
              </w:rPr>
              <w:t xml:space="preserve">  元（</w:t>
            </w:r>
            <w:r>
              <w:rPr>
                <w:rFonts w:hint="eastAsia" w:ascii="宋体" w:hAnsi="宋体" w:eastAsia="宋体" w:cs="宋体"/>
                <w:color w:val="000000" w:themeColor="text1"/>
                <w:sz w:val="22"/>
                <w:szCs w:val="22"/>
                <w:lang w:val="en-US" w:eastAsia="zh-CN"/>
                <w14:textFill>
                  <w14:solidFill>
                    <w14:schemeClr w14:val="tx1"/>
                  </w14:solidFill>
                </w14:textFill>
              </w:rPr>
              <w:t>当月应付服务费=合同月服务费-当月扣罚费用）</w:t>
            </w:r>
            <w:r>
              <w:rPr>
                <w:rFonts w:hint="eastAsia" w:ascii="宋体" w:hAnsi="宋体" w:eastAsia="宋体" w:cs="宋体"/>
                <w:color w:val="000000"/>
                <w:sz w:val="22"/>
                <w:szCs w:val="22"/>
                <w:lang w:val="en-US" w:eastAsia="zh-CN"/>
              </w:rPr>
              <w:t>。</w:t>
            </w: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r>
      <w:tr>
        <w:tblPrEx>
          <w:tblCellMar>
            <w:top w:w="0" w:type="dxa"/>
            <w:left w:w="108" w:type="dxa"/>
            <w:bottom w:w="0" w:type="dxa"/>
            <w:right w:w="108" w:type="dxa"/>
          </w:tblCellMar>
        </w:tblPrEx>
        <w:trPr>
          <w:trHeight w:val="2504"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eastAsia="zh-CN"/>
              </w:rPr>
              <w:t>说明</w:t>
            </w:r>
            <w:r>
              <w:rPr>
                <w:rFonts w:hint="eastAsia" w:ascii="宋体" w:hAnsi="宋体" w:eastAsia="宋体" w:cs="宋体"/>
                <w:color w:val="000000"/>
                <w:sz w:val="22"/>
                <w:szCs w:val="22"/>
                <w:lang w:val="en-US" w:eastAsia="zh-CN"/>
              </w:rPr>
              <w:t xml:space="preserve"> </w:t>
            </w:r>
          </w:p>
        </w:tc>
        <w:tc>
          <w:tcPr>
            <w:tcW w:w="955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1.考核总分100分，90分及以上为优秀，80分-89分为合格，80分以下为不合格。考核实行按分扣款，每扣1分相应扣减当月服务费100元，即</w:t>
            </w:r>
            <w:r>
              <w:rPr>
                <w:rFonts w:hint="eastAsia" w:ascii="宋体" w:hAnsi="宋体" w:eastAsia="宋体" w:cs="宋体"/>
                <w:color w:val="000000"/>
                <w:sz w:val="22"/>
                <w:szCs w:val="22"/>
                <w:lang w:val="en-US" w:eastAsia="zh-CN"/>
              </w:rPr>
              <w:t>扣罚金额=被扣总分数*100元/分</w:t>
            </w:r>
            <w:r>
              <w:rPr>
                <w:rFonts w:hint="eastAsia" w:ascii="宋体" w:hAnsi="宋体" w:eastAsia="宋体" w:cs="宋体"/>
                <w:color w:val="000000" w:themeColor="text1"/>
                <w:sz w:val="22"/>
                <w:szCs w:val="22"/>
                <w:lang w:val="en-US" w:eastAsia="zh-CN"/>
                <w14:textFill>
                  <w14:solidFill>
                    <w14:schemeClr w14:val="tx1"/>
                  </w14:solidFill>
                </w14:textFill>
              </w:rPr>
              <w:t>。</w:t>
            </w:r>
          </w:p>
          <w:p>
            <w:pPr>
              <w:jc w:val="left"/>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2.当月考核合格，采购人按合同月服务费扣除合计扣款后据实支付；当月考核低于80分一次，采购人对成交人进行约谈；一年内累计低于80分三次（含）以上，采购人有权单方面终止合作。</w:t>
            </w:r>
          </w:p>
          <w:p>
            <w:pPr>
              <w:jc w:val="left"/>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3.保卫科于每月月初5个工作日内完成上月考核，考核结果经安防维保公司负责人确认后生效。</w:t>
            </w:r>
          </w:p>
          <w:p>
            <w:pPr>
              <w:jc w:val="left"/>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4.每月考核扣罚费用从当月服务费中直接扣除，计算公式：当月应付服务费=合同月服务费-当月扣罚费用，财务科按当月应付服务费办理支付。</w:t>
            </w:r>
          </w:p>
        </w:tc>
      </w:tr>
      <w:tr>
        <w:tblPrEx>
          <w:tblCellMar>
            <w:top w:w="0" w:type="dxa"/>
            <w:left w:w="108" w:type="dxa"/>
            <w:bottom w:w="0" w:type="dxa"/>
            <w:right w:w="108" w:type="dxa"/>
          </w:tblCellMar>
        </w:tblPrEx>
        <w:trPr>
          <w:trHeight w:val="400" w:hRule="atLeast"/>
        </w:trPr>
        <w:tc>
          <w:tcPr>
            <w:tcW w:w="5455" w:type="dxa"/>
            <w:gridSpan w:val="4"/>
            <w:tcBorders>
              <w:top w:val="single" w:color="000000" w:sz="4" w:space="0"/>
              <w:left w:val="single" w:color="000000" w:sz="4" w:space="0"/>
              <w:bottom w:val="single" w:color="000000" w:sz="4" w:space="0"/>
              <w:right w:val="single" w:color="auto" w:sz="4" w:space="0"/>
            </w:tcBorders>
            <w:shd w:val="clear" w:color="auto" w:fill="auto"/>
            <w:noWrap/>
            <w:vAlign w:val="center"/>
          </w:tcPr>
          <w:p>
            <w:pPr>
              <w:rPr>
                <w:rFonts w:hint="eastAsia" w:ascii="宋体" w:hAnsi="宋体" w:eastAsia="宋体" w:cs="宋体"/>
                <w:color w:val="000000"/>
                <w:sz w:val="22"/>
                <w:szCs w:val="22"/>
                <w:lang w:eastAsia="zh-CN"/>
              </w:rPr>
            </w:pPr>
          </w:p>
          <w:p>
            <w:pPr>
              <w:rPr>
                <w:rFonts w:ascii="宋体" w:hAnsi="宋体" w:eastAsia="宋体" w:cs="宋体"/>
                <w:color w:val="000000"/>
                <w:sz w:val="22"/>
                <w:szCs w:val="22"/>
              </w:rPr>
            </w:pPr>
            <w:r>
              <w:rPr>
                <w:rFonts w:hint="eastAsia" w:ascii="宋体" w:hAnsi="宋体" w:eastAsia="宋体" w:cs="宋体"/>
                <w:color w:val="000000"/>
                <w:sz w:val="22"/>
                <w:szCs w:val="22"/>
                <w:lang w:eastAsia="zh-CN"/>
              </w:rPr>
              <w:t>我院方主管部门考核意见</w:t>
            </w:r>
            <w:r>
              <w:rPr>
                <w:rFonts w:hint="eastAsia" w:ascii="宋体" w:hAnsi="宋体" w:eastAsia="宋体" w:cs="宋体"/>
                <w:color w:val="000000"/>
                <w:sz w:val="22"/>
                <w:szCs w:val="22"/>
              </w:rPr>
              <w:t>：</w:t>
            </w:r>
          </w:p>
          <w:p>
            <w:pPr>
              <w:rPr>
                <w:rFonts w:ascii="宋体" w:hAnsi="宋体" w:eastAsia="宋体" w:cs="宋体"/>
                <w:color w:val="000000"/>
                <w:sz w:val="22"/>
                <w:szCs w:val="22"/>
              </w:rPr>
            </w:pPr>
          </w:p>
          <w:p>
            <w:pPr>
              <w:ind w:right="440" w:firstLine="4180" w:firstLineChars="1900"/>
              <w:rPr>
                <w:rFonts w:hint="eastAsia" w:ascii="宋体" w:hAnsi="宋体" w:eastAsia="宋体" w:cs="宋体"/>
                <w:color w:val="000000"/>
                <w:sz w:val="22"/>
                <w:szCs w:val="22"/>
              </w:rPr>
            </w:pPr>
          </w:p>
          <w:p>
            <w:pPr>
              <w:ind w:right="440"/>
              <w:rPr>
                <w:rFonts w:hint="eastAsia" w:ascii="宋体" w:hAnsi="宋体" w:eastAsia="宋体" w:cs="宋体"/>
                <w:color w:val="000000"/>
                <w:sz w:val="22"/>
                <w:szCs w:val="22"/>
              </w:rPr>
            </w:pPr>
          </w:p>
          <w:p>
            <w:pPr>
              <w:ind w:right="440"/>
              <w:rPr>
                <w:rFonts w:hint="eastAsia" w:ascii="宋体" w:hAnsi="宋体" w:eastAsia="宋体" w:cs="宋体"/>
                <w:color w:val="000000"/>
                <w:sz w:val="22"/>
                <w:szCs w:val="22"/>
              </w:rPr>
            </w:pPr>
          </w:p>
          <w:p>
            <w:pPr>
              <w:ind w:right="440" w:firstLine="2640" w:firstLineChars="1200"/>
              <w:rPr>
                <w:rFonts w:ascii="宋体" w:hAnsi="宋体" w:eastAsia="宋体" w:cs="宋体"/>
                <w:color w:val="000000"/>
                <w:sz w:val="22"/>
                <w:szCs w:val="22"/>
              </w:rPr>
            </w:pPr>
            <w:r>
              <w:rPr>
                <w:rFonts w:hint="eastAsia" w:ascii="宋体" w:hAnsi="宋体" w:eastAsia="宋体" w:cs="宋体"/>
                <w:color w:val="000000"/>
                <w:sz w:val="22"/>
                <w:szCs w:val="22"/>
              </w:rPr>
              <w:t>考核人（签字）：</w:t>
            </w:r>
          </w:p>
          <w:p>
            <w:pPr>
              <w:ind w:right="440" w:firstLine="3080" w:firstLineChars="1400"/>
              <w:rPr>
                <w:rFonts w:ascii="宋体" w:hAnsi="宋体" w:eastAsia="宋体" w:cs="宋体"/>
                <w:color w:val="000000"/>
                <w:sz w:val="22"/>
                <w:szCs w:val="22"/>
              </w:rPr>
            </w:pPr>
            <w:r>
              <w:rPr>
                <w:rFonts w:hint="eastAsia" w:ascii="宋体" w:hAnsi="宋体" w:eastAsia="宋体" w:cs="宋体"/>
                <w:color w:val="000000"/>
                <w:sz w:val="22"/>
                <w:szCs w:val="22"/>
              </w:rPr>
              <w:t>年    月    日</w:t>
            </w:r>
          </w:p>
        </w:tc>
        <w:tc>
          <w:tcPr>
            <w:tcW w:w="4877" w:type="dxa"/>
            <w:gridSpan w:val="3"/>
            <w:tcBorders>
              <w:top w:val="single" w:color="000000" w:sz="4" w:space="0"/>
              <w:left w:val="single" w:color="auto" w:sz="4" w:space="0"/>
              <w:bottom w:val="single" w:color="000000" w:sz="4" w:space="0"/>
              <w:right w:val="single" w:color="000000" w:sz="4" w:space="0"/>
            </w:tcBorders>
            <w:shd w:val="clear" w:color="auto" w:fill="auto"/>
            <w:noWrap/>
            <w:vAlign w:val="top"/>
          </w:tcPr>
          <w:p>
            <w:pPr>
              <w:jc w:val="both"/>
              <w:rPr>
                <w:rFonts w:hint="eastAsia" w:ascii="宋体" w:hAnsi="宋体" w:eastAsia="宋体" w:cs="宋体"/>
                <w:color w:val="000000"/>
                <w:sz w:val="22"/>
                <w:szCs w:val="22"/>
                <w:lang w:eastAsia="zh-CN"/>
              </w:rPr>
            </w:pPr>
          </w:p>
          <w:p>
            <w:pPr>
              <w:jc w:val="both"/>
              <w:rPr>
                <w:rFonts w:ascii="宋体" w:hAnsi="宋体" w:eastAsia="宋体" w:cs="宋体"/>
                <w:color w:val="000000"/>
                <w:sz w:val="22"/>
                <w:szCs w:val="22"/>
              </w:rPr>
            </w:pPr>
            <w:r>
              <w:rPr>
                <w:rFonts w:hint="eastAsia" w:ascii="宋体" w:hAnsi="宋体" w:eastAsia="宋体" w:cs="宋体"/>
                <w:color w:val="000000"/>
                <w:sz w:val="22"/>
                <w:szCs w:val="22"/>
                <w:lang w:eastAsia="zh-CN"/>
              </w:rPr>
              <w:t>维保商意见</w:t>
            </w:r>
            <w:r>
              <w:rPr>
                <w:rFonts w:hint="eastAsia" w:ascii="宋体" w:hAnsi="宋体" w:eastAsia="宋体" w:cs="宋体"/>
                <w:color w:val="000000"/>
                <w:sz w:val="22"/>
                <w:szCs w:val="22"/>
              </w:rPr>
              <w:t>：</w:t>
            </w:r>
          </w:p>
          <w:p>
            <w:pPr>
              <w:jc w:val="both"/>
              <w:rPr>
                <w:rFonts w:ascii="宋体" w:hAnsi="宋体" w:eastAsia="宋体" w:cs="宋体"/>
                <w:color w:val="000000"/>
                <w:sz w:val="22"/>
                <w:szCs w:val="22"/>
              </w:rPr>
            </w:pPr>
          </w:p>
          <w:p>
            <w:pPr>
              <w:ind w:right="440" w:firstLine="4180" w:firstLineChars="1900"/>
              <w:jc w:val="both"/>
              <w:rPr>
                <w:rFonts w:hint="eastAsia" w:ascii="宋体" w:hAnsi="宋体" w:eastAsia="宋体" w:cs="宋体"/>
                <w:color w:val="000000"/>
                <w:sz w:val="22"/>
                <w:szCs w:val="22"/>
              </w:rPr>
            </w:pPr>
          </w:p>
          <w:p>
            <w:pPr>
              <w:ind w:right="440"/>
              <w:jc w:val="both"/>
              <w:rPr>
                <w:rFonts w:hint="eastAsia" w:ascii="宋体" w:hAnsi="宋体" w:eastAsia="宋体" w:cs="宋体"/>
                <w:color w:val="000000"/>
                <w:sz w:val="22"/>
                <w:szCs w:val="22"/>
              </w:rPr>
            </w:pPr>
          </w:p>
          <w:p>
            <w:pPr>
              <w:ind w:right="440"/>
              <w:jc w:val="both"/>
              <w:rPr>
                <w:rFonts w:hint="eastAsia" w:ascii="宋体" w:hAnsi="宋体" w:eastAsia="宋体" w:cs="宋体"/>
                <w:color w:val="000000"/>
                <w:sz w:val="22"/>
                <w:szCs w:val="22"/>
              </w:rPr>
            </w:pPr>
          </w:p>
          <w:p>
            <w:pPr>
              <w:ind w:right="440" w:firstLine="1980" w:firstLineChars="900"/>
              <w:jc w:val="both"/>
              <w:rPr>
                <w:rFonts w:ascii="宋体" w:hAnsi="宋体" w:eastAsia="宋体" w:cs="宋体"/>
                <w:color w:val="000000"/>
                <w:sz w:val="22"/>
                <w:szCs w:val="22"/>
              </w:rPr>
            </w:pPr>
            <w:r>
              <w:rPr>
                <w:rFonts w:hint="eastAsia" w:ascii="宋体" w:hAnsi="宋体" w:eastAsia="宋体" w:cs="宋体"/>
                <w:color w:val="000000"/>
                <w:sz w:val="22"/>
                <w:szCs w:val="22"/>
              </w:rPr>
              <w:t>考核人（签字）：</w:t>
            </w:r>
          </w:p>
          <w:p>
            <w:pPr>
              <w:ind w:right="440" w:firstLine="2420" w:firstLineChars="1100"/>
              <w:jc w:val="both"/>
              <w:rPr>
                <w:rFonts w:hint="eastAsia" w:ascii="宋体" w:hAnsi="宋体" w:eastAsia="宋体" w:cs="宋体"/>
                <w:color w:val="000000"/>
                <w:sz w:val="22"/>
                <w:szCs w:val="22"/>
              </w:rPr>
            </w:pPr>
            <w:r>
              <w:rPr>
                <w:rFonts w:hint="eastAsia" w:ascii="宋体" w:hAnsi="宋体" w:eastAsia="宋体" w:cs="宋体"/>
                <w:color w:val="000000"/>
                <w:sz w:val="22"/>
                <w:szCs w:val="22"/>
              </w:rPr>
              <w:t>年    月    日</w:t>
            </w:r>
          </w:p>
        </w:tc>
      </w:tr>
    </w:tbl>
    <w:p>
      <w:pPr>
        <w:spacing w:line="500" w:lineRule="exact"/>
        <w:jc w:val="left"/>
        <w:rPr>
          <w:rFonts w:ascii="仿宋_GB2312" w:hAnsi="宋体" w:eastAsia="仿宋_GB2312" w:cs="宋体"/>
          <w:kern w:val="0"/>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BlZDhiNjE0NDZmMTg1NDgxOTgyOTYyYWMxMThjY2UifQ=="/>
  </w:docVars>
  <w:rsids>
    <w:rsidRoot w:val="18CF2CF7"/>
    <w:rsid w:val="001C1E87"/>
    <w:rsid w:val="004975FF"/>
    <w:rsid w:val="004E1802"/>
    <w:rsid w:val="00565385"/>
    <w:rsid w:val="0066004A"/>
    <w:rsid w:val="00755C81"/>
    <w:rsid w:val="008B385B"/>
    <w:rsid w:val="008B6909"/>
    <w:rsid w:val="00CB5935"/>
    <w:rsid w:val="00D43B62"/>
    <w:rsid w:val="00DA16DF"/>
    <w:rsid w:val="015E0CC0"/>
    <w:rsid w:val="01F530D9"/>
    <w:rsid w:val="02E15AEB"/>
    <w:rsid w:val="034F2589"/>
    <w:rsid w:val="03AE3D9D"/>
    <w:rsid w:val="03E84F7D"/>
    <w:rsid w:val="03FB4446"/>
    <w:rsid w:val="042A75B5"/>
    <w:rsid w:val="04DC6B35"/>
    <w:rsid w:val="04FF0D4B"/>
    <w:rsid w:val="065156E0"/>
    <w:rsid w:val="06A17D7F"/>
    <w:rsid w:val="06F7571C"/>
    <w:rsid w:val="0802029F"/>
    <w:rsid w:val="08051C05"/>
    <w:rsid w:val="080D40B9"/>
    <w:rsid w:val="082D7795"/>
    <w:rsid w:val="08E01173"/>
    <w:rsid w:val="0A4A284C"/>
    <w:rsid w:val="0ABF3987"/>
    <w:rsid w:val="0B406CC3"/>
    <w:rsid w:val="0B606E7B"/>
    <w:rsid w:val="0B64413F"/>
    <w:rsid w:val="0B6E3E49"/>
    <w:rsid w:val="0C54660F"/>
    <w:rsid w:val="0CBE71B8"/>
    <w:rsid w:val="0CDF33C4"/>
    <w:rsid w:val="0DA556E4"/>
    <w:rsid w:val="0E9F0247"/>
    <w:rsid w:val="0F0E1349"/>
    <w:rsid w:val="0F1F39B4"/>
    <w:rsid w:val="10511677"/>
    <w:rsid w:val="10BF0037"/>
    <w:rsid w:val="10D033E2"/>
    <w:rsid w:val="10E73F30"/>
    <w:rsid w:val="114573CC"/>
    <w:rsid w:val="1176430E"/>
    <w:rsid w:val="119475C1"/>
    <w:rsid w:val="13DD7E1B"/>
    <w:rsid w:val="13FE5245"/>
    <w:rsid w:val="142A423C"/>
    <w:rsid w:val="14394892"/>
    <w:rsid w:val="14A04594"/>
    <w:rsid w:val="1585760E"/>
    <w:rsid w:val="15B96813"/>
    <w:rsid w:val="164965E4"/>
    <w:rsid w:val="16C72A8A"/>
    <w:rsid w:val="17C27715"/>
    <w:rsid w:val="184C64BE"/>
    <w:rsid w:val="18502F73"/>
    <w:rsid w:val="18CF2CF7"/>
    <w:rsid w:val="1A2C68D3"/>
    <w:rsid w:val="1A833902"/>
    <w:rsid w:val="1B160D37"/>
    <w:rsid w:val="1B8A4CAA"/>
    <w:rsid w:val="1BB5193A"/>
    <w:rsid w:val="1BD6390D"/>
    <w:rsid w:val="1D5F45BF"/>
    <w:rsid w:val="1E842BFD"/>
    <w:rsid w:val="1F090296"/>
    <w:rsid w:val="1FB518D4"/>
    <w:rsid w:val="1FE073D0"/>
    <w:rsid w:val="20822441"/>
    <w:rsid w:val="211477F0"/>
    <w:rsid w:val="214C0AA7"/>
    <w:rsid w:val="22B45F16"/>
    <w:rsid w:val="22C23A62"/>
    <w:rsid w:val="235E56BC"/>
    <w:rsid w:val="23723527"/>
    <w:rsid w:val="255B1DB8"/>
    <w:rsid w:val="25FF7FC4"/>
    <w:rsid w:val="26173860"/>
    <w:rsid w:val="26781F5E"/>
    <w:rsid w:val="26FF0C0C"/>
    <w:rsid w:val="270207DF"/>
    <w:rsid w:val="28A53224"/>
    <w:rsid w:val="28B40C13"/>
    <w:rsid w:val="298421C8"/>
    <w:rsid w:val="299C45B5"/>
    <w:rsid w:val="2A00436D"/>
    <w:rsid w:val="2A192328"/>
    <w:rsid w:val="2AF75BD5"/>
    <w:rsid w:val="2C062F3F"/>
    <w:rsid w:val="2D6D696A"/>
    <w:rsid w:val="2D9A5311"/>
    <w:rsid w:val="2F571625"/>
    <w:rsid w:val="2F850DED"/>
    <w:rsid w:val="2FF65C51"/>
    <w:rsid w:val="30751C7C"/>
    <w:rsid w:val="30DF3D74"/>
    <w:rsid w:val="31A07EA7"/>
    <w:rsid w:val="31BA0904"/>
    <w:rsid w:val="32446524"/>
    <w:rsid w:val="326B2F61"/>
    <w:rsid w:val="327C3A41"/>
    <w:rsid w:val="333F3DEE"/>
    <w:rsid w:val="33426192"/>
    <w:rsid w:val="33B409EE"/>
    <w:rsid w:val="33C17C23"/>
    <w:rsid w:val="349450CC"/>
    <w:rsid w:val="3585695C"/>
    <w:rsid w:val="35A04F88"/>
    <w:rsid w:val="35F71502"/>
    <w:rsid w:val="36BA72B6"/>
    <w:rsid w:val="36E80450"/>
    <w:rsid w:val="373A12AE"/>
    <w:rsid w:val="37612CCD"/>
    <w:rsid w:val="37A045EB"/>
    <w:rsid w:val="37C31B4B"/>
    <w:rsid w:val="37D61CCF"/>
    <w:rsid w:val="382F7AF4"/>
    <w:rsid w:val="38336C84"/>
    <w:rsid w:val="38874B2B"/>
    <w:rsid w:val="3924132F"/>
    <w:rsid w:val="395320AE"/>
    <w:rsid w:val="39625333"/>
    <w:rsid w:val="39ED4047"/>
    <w:rsid w:val="39F231FC"/>
    <w:rsid w:val="3A2B06DD"/>
    <w:rsid w:val="3AB64885"/>
    <w:rsid w:val="3BBF334E"/>
    <w:rsid w:val="3C0157EC"/>
    <w:rsid w:val="3D1E05E3"/>
    <w:rsid w:val="3D3F524A"/>
    <w:rsid w:val="3E371577"/>
    <w:rsid w:val="3E9001B7"/>
    <w:rsid w:val="3F59765B"/>
    <w:rsid w:val="3FA54A97"/>
    <w:rsid w:val="3FDA721C"/>
    <w:rsid w:val="41101489"/>
    <w:rsid w:val="419F461B"/>
    <w:rsid w:val="41D822A4"/>
    <w:rsid w:val="43CC4BD9"/>
    <w:rsid w:val="448C7E94"/>
    <w:rsid w:val="448E7146"/>
    <w:rsid w:val="44ED1DDF"/>
    <w:rsid w:val="44F15724"/>
    <w:rsid w:val="454910CB"/>
    <w:rsid w:val="45DF4263"/>
    <w:rsid w:val="45E02F63"/>
    <w:rsid w:val="46B32CD9"/>
    <w:rsid w:val="46D56B4B"/>
    <w:rsid w:val="477314E5"/>
    <w:rsid w:val="47E21487"/>
    <w:rsid w:val="47E868C7"/>
    <w:rsid w:val="48C93DB8"/>
    <w:rsid w:val="48D161FB"/>
    <w:rsid w:val="499D55CA"/>
    <w:rsid w:val="49B8385C"/>
    <w:rsid w:val="49DB342E"/>
    <w:rsid w:val="4A3919C3"/>
    <w:rsid w:val="4AAE5753"/>
    <w:rsid w:val="4AD23F2C"/>
    <w:rsid w:val="4B107C0B"/>
    <w:rsid w:val="4B207B41"/>
    <w:rsid w:val="4BB5083B"/>
    <w:rsid w:val="4C985521"/>
    <w:rsid w:val="4C9F5296"/>
    <w:rsid w:val="4CDD3B76"/>
    <w:rsid w:val="4D0E58F7"/>
    <w:rsid w:val="4DA26CEE"/>
    <w:rsid w:val="4ED95696"/>
    <w:rsid w:val="4F491319"/>
    <w:rsid w:val="4FAD628E"/>
    <w:rsid w:val="500074C5"/>
    <w:rsid w:val="50063923"/>
    <w:rsid w:val="5050783B"/>
    <w:rsid w:val="505640A7"/>
    <w:rsid w:val="510C012E"/>
    <w:rsid w:val="5218543D"/>
    <w:rsid w:val="52840F92"/>
    <w:rsid w:val="52C94D78"/>
    <w:rsid w:val="53D05BC1"/>
    <w:rsid w:val="53E479A6"/>
    <w:rsid w:val="551C3808"/>
    <w:rsid w:val="55343129"/>
    <w:rsid w:val="55C14B2D"/>
    <w:rsid w:val="55FB797B"/>
    <w:rsid w:val="56034146"/>
    <w:rsid w:val="56C3008D"/>
    <w:rsid w:val="56DA33C6"/>
    <w:rsid w:val="573A536C"/>
    <w:rsid w:val="57B14AC9"/>
    <w:rsid w:val="5806392A"/>
    <w:rsid w:val="58125C24"/>
    <w:rsid w:val="584B2834"/>
    <w:rsid w:val="588D0B8C"/>
    <w:rsid w:val="588E47DE"/>
    <w:rsid w:val="5923508E"/>
    <w:rsid w:val="59446DB2"/>
    <w:rsid w:val="59AA53DC"/>
    <w:rsid w:val="59DF5D66"/>
    <w:rsid w:val="5A53644F"/>
    <w:rsid w:val="5B2A346F"/>
    <w:rsid w:val="5B771629"/>
    <w:rsid w:val="5B8217E1"/>
    <w:rsid w:val="5E2441D9"/>
    <w:rsid w:val="5E8F542F"/>
    <w:rsid w:val="5E9D7B78"/>
    <w:rsid w:val="5EB6652D"/>
    <w:rsid w:val="5EEB232A"/>
    <w:rsid w:val="5FA62C59"/>
    <w:rsid w:val="614F20B5"/>
    <w:rsid w:val="621A34C1"/>
    <w:rsid w:val="63064D99"/>
    <w:rsid w:val="64513DFF"/>
    <w:rsid w:val="64A651FA"/>
    <w:rsid w:val="64B570BA"/>
    <w:rsid w:val="64C91375"/>
    <w:rsid w:val="64C94EDD"/>
    <w:rsid w:val="652E578C"/>
    <w:rsid w:val="66924CBF"/>
    <w:rsid w:val="67294D97"/>
    <w:rsid w:val="67CB5238"/>
    <w:rsid w:val="68213A5F"/>
    <w:rsid w:val="6882418C"/>
    <w:rsid w:val="6A8F2667"/>
    <w:rsid w:val="6AD842C3"/>
    <w:rsid w:val="6BA10254"/>
    <w:rsid w:val="6C1475CF"/>
    <w:rsid w:val="6C303A86"/>
    <w:rsid w:val="6D7F6984"/>
    <w:rsid w:val="6D9B2869"/>
    <w:rsid w:val="6DA3022B"/>
    <w:rsid w:val="6DC25C02"/>
    <w:rsid w:val="6DE83E26"/>
    <w:rsid w:val="6E1B0214"/>
    <w:rsid w:val="6F5C60EB"/>
    <w:rsid w:val="6FB3233C"/>
    <w:rsid w:val="70106692"/>
    <w:rsid w:val="706772E1"/>
    <w:rsid w:val="706F2482"/>
    <w:rsid w:val="70B35637"/>
    <w:rsid w:val="70CB5310"/>
    <w:rsid w:val="71A844E1"/>
    <w:rsid w:val="725A6575"/>
    <w:rsid w:val="726D5169"/>
    <w:rsid w:val="72935960"/>
    <w:rsid w:val="74266BD6"/>
    <w:rsid w:val="749B0FFC"/>
    <w:rsid w:val="74C82FAC"/>
    <w:rsid w:val="74D36130"/>
    <w:rsid w:val="753234C4"/>
    <w:rsid w:val="75E665A4"/>
    <w:rsid w:val="76D37FDC"/>
    <w:rsid w:val="779F13DC"/>
    <w:rsid w:val="7A1A6CA3"/>
    <w:rsid w:val="7A7262D5"/>
    <w:rsid w:val="7A9A4641"/>
    <w:rsid w:val="7B1F4287"/>
    <w:rsid w:val="7B917F60"/>
    <w:rsid w:val="7C003573"/>
    <w:rsid w:val="7C481A86"/>
    <w:rsid w:val="7DB86F7C"/>
    <w:rsid w:val="7E343B3E"/>
    <w:rsid w:val="7EE10FC1"/>
    <w:rsid w:val="7F647D7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qFormat/>
    <w:uiPriority w:val="0"/>
    <w:pPr>
      <w:spacing w:before="100" w:beforeAutospacing="1" w:after="100" w:afterAutospacing="1"/>
      <w:jc w:val="left"/>
    </w:pPr>
    <w:rPr>
      <w:rFonts w:cs="Times New Roman"/>
      <w:kern w:val="0"/>
      <w:sz w:val="24"/>
    </w:rPr>
  </w:style>
  <w:style w:type="character" w:styleId="10">
    <w:name w:val="Strong"/>
    <w:basedOn w:val="9"/>
    <w:qFormat/>
    <w:uiPriority w:val="0"/>
    <w:rPr>
      <w:b/>
    </w:rPr>
  </w:style>
  <w:style w:type="paragraph" w:customStyle="1" w:styleId="11">
    <w:name w:val="Body text|1"/>
    <w:basedOn w:val="1"/>
    <w:qFormat/>
    <w:uiPriority w:val="0"/>
    <w:pPr>
      <w:spacing w:line="480" w:lineRule="auto"/>
      <w:ind w:firstLine="380"/>
    </w:pPr>
    <w:rPr>
      <w:rFonts w:ascii="宋体" w:hAnsi="宋体" w:eastAsia="宋体" w:cs="宋体"/>
      <w:sz w:val="17"/>
      <w:szCs w:val="17"/>
      <w:lang w:val="zh-TW" w:eastAsia="zh-TW" w:bidi="zh-T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Pages>
  <Words>4439</Words>
  <Characters>4559</Characters>
  <Lines>15</Lines>
  <Paragraphs>4</Paragraphs>
  <TotalTime>47</TotalTime>
  <ScaleCrop>false</ScaleCrop>
  <LinksUpToDate>false</LinksUpToDate>
  <CharactersWithSpaces>4599</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2022-11-21T08:09:00Z</dcterms:created>
  <dc:creator>支坤</dc:creator>
  <cp:lastModifiedBy>7685</cp:lastModifiedBy>
  <cp:lastPrinted>2026-09-21T09:38:00Z</cp:lastPrinted>
  <dcterms:modified xsi:type="dcterms:W3CDTF">2026-10-08T09:36:49Z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D956A45254104E4E971FAD9E447E1CDE</vt:lpwstr>
  </property>
  <property fmtid="{D5CDD505-2E9C-101B-9397-08002B2CF9AE}" pid="4" name="KSOTemplateDocerSaveRecord">
    <vt:lpwstr>eyJoZGlkIjoiYjRhMjJhZmJiOTAxYmQ4Yjg5MTBhMDQ0MTI2NjhlOWEiLCJ1c2VySWQiOiI2NTQ1MTAyODIifQ==</vt:lpwstr>
  </property>
</Properties>
</file>